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7C9F" w14:textId="548C8B72" w:rsidR="00C23E5B" w:rsidRDefault="00C23E5B" w:rsidP="006758CA">
      <w:pPr>
        <w:pStyle w:val="Body"/>
      </w:pPr>
    </w:p>
    <w:p w14:paraId="2ECE6557" w14:textId="3F1274AD" w:rsidR="000B272D" w:rsidRDefault="000B272D" w:rsidP="006758CA">
      <w:pPr>
        <w:pStyle w:val="Body"/>
      </w:pPr>
    </w:p>
    <w:p w14:paraId="4212E1EC" w14:textId="6971E2BD" w:rsidR="000B272D" w:rsidRDefault="000B272D" w:rsidP="006758CA">
      <w:pPr>
        <w:pStyle w:val="Body"/>
      </w:pPr>
    </w:p>
    <w:p w14:paraId="51145BDA" w14:textId="1514A951" w:rsidR="000B272D" w:rsidRDefault="000B272D" w:rsidP="006758CA">
      <w:pPr>
        <w:pStyle w:val="Body"/>
      </w:pPr>
    </w:p>
    <w:p w14:paraId="54B04A36" w14:textId="0A1BE5E4" w:rsidR="000B272D" w:rsidRDefault="000B272D" w:rsidP="006758CA">
      <w:pPr>
        <w:pStyle w:val="Body"/>
      </w:pPr>
    </w:p>
    <w:p w14:paraId="6B4F215C" w14:textId="55BFB5D7" w:rsidR="000B272D" w:rsidRDefault="000B272D" w:rsidP="006758CA">
      <w:pPr>
        <w:pStyle w:val="Body"/>
      </w:pPr>
    </w:p>
    <w:p w14:paraId="36AFD6D7" w14:textId="12D1D8DD" w:rsidR="000B272D" w:rsidRDefault="000B272D" w:rsidP="006758CA">
      <w:pPr>
        <w:pStyle w:val="Body"/>
      </w:pPr>
    </w:p>
    <w:p w14:paraId="17795933" w14:textId="255FB4DF" w:rsidR="000B272D" w:rsidRDefault="000B272D" w:rsidP="006758CA">
      <w:pPr>
        <w:pStyle w:val="Body"/>
      </w:pPr>
    </w:p>
    <w:p w14:paraId="63AAA374" w14:textId="77777777" w:rsidR="000B272D" w:rsidRDefault="000B272D" w:rsidP="006758CA">
      <w:pPr>
        <w:pStyle w:val="Body"/>
      </w:pPr>
    </w:p>
    <w:p w14:paraId="16A1C857" w14:textId="77777777" w:rsidR="006758CA" w:rsidRDefault="006758CA" w:rsidP="006758CA">
      <w:pPr>
        <w:pStyle w:val="Body"/>
      </w:pPr>
    </w:p>
    <w:p w14:paraId="00D17F32" w14:textId="3CE88405" w:rsidR="00C106CF" w:rsidRPr="00196628" w:rsidRDefault="00C23E5B" w:rsidP="009C4F81">
      <w:pPr>
        <w:pStyle w:val="Body"/>
        <w:jc w:val="center"/>
        <w:rPr>
          <w:b/>
          <w:bCs/>
          <w:sz w:val="36"/>
          <w:szCs w:val="40"/>
          <w:u w:val="single"/>
        </w:rPr>
      </w:pPr>
      <w:r w:rsidRPr="00196628">
        <w:rPr>
          <w:b/>
          <w:bCs/>
          <w:sz w:val="36"/>
          <w:szCs w:val="40"/>
          <w:u w:val="single"/>
        </w:rPr>
        <w:t>PAIA MANUAL</w:t>
      </w:r>
    </w:p>
    <w:p w14:paraId="44955449" w14:textId="2FCF5494" w:rsidR="00C23E5B" w:rsidRPr="00C23E5B" w:rsidRDefault="00C23E5B" w:rsidP="009C4F81">
      <w:pPr>
        <w:pStyle w:val="Body"/>
        <w:jc w:val="center"/>
        <w:rPr>
          <w:b/>
          <w:bCs/>
        </w:rPr>
      </w:pPr>
    </w:p>
    <w:p w14:paraId="3FEC865C" w14:textId="77777777" w:rsidR="00C23E5B" w:rsidRPr="00C23E5B" w:rsidRDefault="00C23E5B" w:rsidP="009C4F81">
      <w:pPr>
        <w:pStyle w:val="Body"/>
        <w:jc w:val="center"/>
        <w:rPr>
          <w:b/>
          <w:bCs/>
        </w:rPr>
      </w:pPr>
    </w:p>
    <w:p w14:paraId="2B27662C" w14:textId="01069350" w:rsidR="00C23E5B" w:rsidRPr="00C23E5B" w:rsidRDefault="00C23E5B" w:rsidP="009C4F81">
      <w:pPr>
        <w:pStyle w:val="Body"/>
        <w:jc w:val="center"/>
        <w:rPr>
          <w:b/>
          <w:bCs/>
        </w:rPr>
      </w:pPr>
      <w:r w:rsidRPr="00C23E5B">
        <w:rPr>
          <w:b/>
          <w:bCs/>
        </w:rPr>
        <w:t xml:space="preserve">PREPARED IN TERMS OF SECTION 51 OF THE </w:t>
      </w:r>
      <w:r w:rsidRPr="00196628">
        <w:rPr>
          <w:b/>
          <w:bCs/>
          <w:i/>
          <w:iCs/>
        </w:rPr>
        <w:t>PROMOTION OF ACCESS TO INFORMATION ACT 2 OF 2000</w:t>
      </w:r>
      <w:r w:rsidRPr="00C23E5B">
        <w:rPr>
          <w:b/>
          <w:bCs/>
        </w:rPr>
        <w:t xml:space="preserve"> (AS AMENDED)</w:t>
      </w:r>
      <w:r w:rsidR="00D468F1">
        <w:rPr>
          <w:b/>
          <w:bCs/>
        </w:rPr>
        <w:t xml:space="preserve"> AND THE </w:t>
      </w:r>
      <w:r w:rsidR="00D468F1" w:rsidRPr="00196628">
        <w:rPr>
          <w:b/>
          <w:bCs/>
          <w:i/>
          <w:iCs/>
        </w:rPr>
        <w:t>PROTECTION OF PERSONAL INFORMATION ACT 4 OF 2013</w:t>
      </w:r>
      <w:r w:rsidR="00D468F1">
        <w:rPr>
          <w:b/>
          <w:bCs/>
        </w:rPr>
        <w:t xml:space="preserve"> (AS AMENDED)</w:t>
      </w:r>
    </w:p>
    <w:p w14:paraId="7313368C" w14:textId="43209132" w:rsidR="00C23E5B" w:rsidRPr="00C23E5B" w:rsidRDefault="00C23E5B" w:rsidP="009C4F81">
      <w:pPr>
        <w:pStyle w:val="Body"/>
        <w:jc w:val="center"/>
        <w:rPr>
          <w:b/>
          <w:bCs/>
        </w:rPr>
      </w:pPr>
    </w:p>
    <w:p w14:paraId="536EFA36" w14:textId="601230E0" w:rsidR="00C23E5B" w:rsidRPr="00C23E5B" w:rsidRDefault="00C23E5B" w:rsidP="009C4F81">
      <w:pPr>
        <w:pStyle w:val="Body"/>
        <w:jc w:val="center"/>
        <w:rPr>
          <w:b/>
          <w:bCs/>
        </w:rPr>
      </w:pPr>
      <w:r w:rsidRPr="00C23E5B">
        <w:rPr>
          <w:b/>
          <w:bCs/>
        </w:rPr>
        <w:t>OF</w:t>
      </w:r>
    </w:p>
    <w:p w14:paraId="34E9DB97" w14:textId="0A99FE02" w:rsidR="00C23E5B" w:rsidRPr="00C23E5B" w:rsidRDefault="00C23E5B" w:rsidP="009C4F81">
      <w:pPr>
        <w:pStyle w:val="Body"/>
        <w:jc w:val="center"/>
        <w:rPr>
          <w:b/>
          <w:bCs/>
        </w:rPr>
      </w:pPr>
    </w:p>
    <w:p w14:paraId="64D40CB0" w14:textId="399CA0DD" w:rsidR="00C23E5B" w:rsidRDefault="006429AC" w:rsidP="009C4F81">
      <w:pPr>
        <w:pStyle w:val="Body"/>
        <w:jc w:val="center"/>
        <w:rPr>
          <w:b/>
          <w:bCs/>
        </w:rPr>
      </w:pPr>
      <w:r>
        <w:rPr>
          <w:b/>
          <w:bCs/>
        </w:rPr>
        <w:t>AJMIV (PTY) LTD t/a AJM</w:t>
      </w:r>
    </w:p>
    <w:p w14:paraId="77E08204" w14:textId="0FD524B4" w:rsidR="00D04558" w:rsidRPr="00D04558" w:rsidRDefault="00D04558" w:rsidP="009C4F81">
      <w:pPr>
        <w:pStyle w:val="Body"/>
        <w:jc w:val="center"/>
      </w:pPr>
      <w:r w:rsidRPr="00D04558">
        <w:t>(“</w:t>
      </w:r>
      <w:r w:rsidRPr="00D04558">
        <w:rPr>
          <w:b/>
          <w:bCs/>
        </w:rPr>
        <w:t>AJM</w:t>
      </w:r>
      <w:r w:rsidRPr="00D04558">
        <w:t>”)</w:t>
      </w:r>
    </w:p>
    <w:p w14:paraId="50B25783" w14:textId="3D9382AF" w:rsidR="00C23E5B" w:rsidRDefault="00C23E5B" w:rsidP="009C4F81">
      <w:pPr>
        <w:pStyle w:val="Body"/>
        <w:jc w:val="center"/>
      </w:pPr>
    </w:p>
    <w:p w14:paraId="5F0946D1" w14:textId="01EEB890" w:rsidR="00C23E5B" w:rsidRDefault="00C23E5B" w:rsidP="009C4F81">
      <w:pPr>
        <w:pStyle w:val="Body"/>
        <w:jc w:val="center"/>
      </w:pPr>
    </w:p>
    <w:p w14:paraId="552F24C7" w14:textId="0CA2D185" w:rsidR="00C23E5B" w:rsidRDefault="00C23E5B" w:rsidP="009207A6">
      <w:pPr>
        <w:pStyle w:val="Body"/>
      </w:pPr>
    </w:p>
    <w:p w14:paraId="5D4C8C05" w14:textId="5CA47834" w:rsidR="00C23E5B" w:rsidRDefault="00C23E5B" w:rsidP="009207A6">
      <w:pPr>
        <w:pStyle w:val="Body"/>
      </w:pPr>
    </w:p>
    <w:p w14:paraId="2CA43B4F" w14:textId="33840610" w:rsidR="00C23E5B" w:rsidRDefault="00C23E5B" w:rsidP="009207A6">
      <w:pPr>
        <w:pStyle w:val="Body"/>
      </w:pPr>
    </w:p>
    <w:p w14:paraId="6AE96EC6" w14:textId="184B8F67" w:rsidR="00C23E5B" w:rsidRDefault="00C23E5B" w:rsidP="009207A6">
      <w:pPr>
        <w:pStyle w:val="Body"/>
      </w:pPr>
    </w:p>
    <w:p w14:paraId="25C9246F" w14:textId="30876AC6" w:rsidR="00C23E5B" w:rsidRDefault="00C23E5B" w:rsidP="009207A6">
      <w:pPr>
        <w:pStyle w:val="Body"/>
      </w:pPr>
    </w:p>
    <w:p w14:paraId="56180D76" w14:textId="73C95868" w:rsidR="00C23E5B" w:rsidRDefault="00C23E5B" w:rsidP="009207A6">
      <w:pPr>
        <w:pStyle w:val="Body"/>
      </w:pPr>
    </w:p>
    <w:p w14:paraId="0E51873E" w14:textId="68BE19EE" w:rsidR="00C23E5B" w:rsidRDefault="00C23E5B" w:rsidP="009207A6">
      <w:pPr>
        <w:pStyle w:val="Body"/>
      </w:pPr>
    </w:p>
    <w:p w14:paraId="5FF5B971" w14:textId="70D81929" w:rsidR="00C23E5B" w:rsidRDefault="00C23E5B" w:rsidP="009207A6">
      <w:pPr>
        <w:pStyle w:val="Body"/>
      </w:pPr>
    </w:p>
    <w:p w14:paraId="2D4A366D" w14:textId="1316C93E" w:rsidR="00C23E5B" w:rsidRDefault="00C23E5B" w:rsidP="009207A6">
      <w:pPr>
        <w:pStyle w:val="Body"/>
      </w:pPr>
    </w:p>
    <w:p w14:paraId="6C331A99" w14:textId="7F905FEE" w:rsidR="00C23E5B" w:rsidRDefault="00C23E5B" w:rsidP="009207A6">
      <w:pPr>
        <w:pStyle w:val="Body"/>
      </w:pPr>
    </w:p>
    <w:p w14:paraId="3BB7D6B1" w14:textId="578F5DD0" w:rsidR="00C23E5B" w:rsidRDefault="00C23E5B" w:rsidP="009207A6">
      <w:pPr>
        <w:pStyle w:val="Body"/>
      </w:pPr>
    </w:p>
    <w:p w14:paraId="432D4166" w14:textId="77777777" w:rsidR="006758CA" w:rsidRDefault="006758CA" w:rsidP="009207A6">
      <w:pPr>
        <w:pStyle w:val="Body"/>
      </w:pPr>
    </w:p>
    <w:p w14:paraId="04C2D68B" w14:textId="51CC0C44" w:rsidR="00C23E5B" w:rsidRDefault="00C23E5B" w:rsidP="009207A6">
      <w:pPr>
        <w:pStyle w:val="Body"/>
        <w:rPr>
          <w:b/>
          <w:bCs/>
        </w:rPr>
      </w:pPr>
      <w:r w:rsidRPr="00132B62">
        <w:rPr>
          <w:b/>
          <w:bCs/>
        </w:rPr>
        <w:t xml:space="preserve">COMPILED: </w:t>
      </w:r>
      <w:r w:rsidR="00946564">
        <w:rPr>
          <w:b/>
          <w:bCs/>
        </w:rPr>
        <w:t>MAY</w:t>
      </w:r>
      <w:r w:rsidR="000B272D">
        <w:rPr>
          <w:b/>
          <w:bCs/>
        </w:rPr>
        <w:t xml:space="preserve"> 2023</w:t>
      </w:r>
    </w:p>
    <w:p w14:paraId="7DE982C0" w14:textId="77777777" w:rsidR="000B272D" w:rsidRPr="00132B62" w:rsidRDefault="000B272D" w:rsidP="009207A6">
      <w:pPr>
        <w:pStyle w:val="Body"/>
        <w:rPr>
          <w:b/>
          <w:bCs/>
        </w:rPr>
      </w:pPr>
    </w:p>
    <w:p w14:paraId="48C57F6E" w14:textId="5BB68C21" w:rsidR="00BA4D7D" w:rsidRPr="00BA4D7D" w:rsidRDefault="00BA4D7D" w:rsidP="00BA4D7D">
      <w:pPr>
        <w:pStyle w:val="BodyLevel1"/>
        <w:sectPr w:rsidR="00BA4D7D" w:rsidRPr="00BA4D7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ACD881" w14:textId="3DFBE611" w:rsidR="003F0558" w:rsidRDefault="003F0558" w:rsidP="009207A6">
      <w:pPr>
        <w:pStyle w:val="BodyLevel1"/>
      </w:pPr>
      <w:r>
        <w:lastRenderedPageBreak/>
        <w:t xml:space="preserve">INTRODUCTION </w:t>
      </w:r>
    </w:p>
    <w:p w14:paraId="03B5EFD3" w14:textId="3ED9218C" w:rsidR="003F0558" w:rsidRPr="003F0558" w:rsidRDefault="00D04558" w:rsidP="009207A6">
      <w:pPr>
        <w:ind w:left="567"/>
        <w:jc w:val="both"/>
      </w:pPr>
      <w:r>
        <w:t>AJM</w:t>
      </w:r>
      <w:r w:rsidR="00D701B6">
        <w:t xml:space="preserve"> understands the importance of transparency and the </w:t>
      </w:r>
      <w:r w:rsidR="002D1F57">
        <w:t>c</w:t>
      </w:r>
      <w:r w:rsidR="00D37CAF">
        <w:t xml:space="preserve">onstitutional </w:t>
      </w:r>
      <w:r w:rsidR="00D701B6">
        <w:t>right of access to information</w:t>
      </w:r>
      <w:r w:rsidR="002D1F57">
        <w:t>. As such, we w</w:t>
      </w:r>
      <w:r w:rsidR="00E445CB">
        <w:t>ill do our outmost best to ensure that anyone</w:t>
      </w:r>
      <w:r w:rsidR="000D1B05">
        <w:t xml:space="preserve"> who requires</w:t>
      </w:r>
      <w:r w:rsidR="00D37CAF">
        <w:t xml:space="preserve"> access to any</w:t>
      </w:r>
      <w:r w:rsidR="000D1B05">
        <w:t xml:space="preserve"> record </w:t>
      </w:r>
      <w:r w:rsidR="002D1F57">
        <w:t>(</w:t>
      </w:r>
      <w:r w:rsidR="000D1B05">
        <w:t>to fully exercise and protect</w:t>
      </w:r>
      <w:r w:rsidR="00E445CB">
        <w:t xml:space="preserve"> </w:t>
      </w:r>
      <w:r w:rsidR="000D1B05">
        <w:t>their rights</w:t>
      </w:r>
      <w:r w:rsidR="002D1F57">
        <w:t>) also</w:t>
      </w:r>
      <w:r w:rsidR="000D1B05">
        <w:t xml:space="preserve"> </w:t>
      </w:r>
      <w:r w:rsidR="00E445CB">
        <w:t xml:space="preserve">has access to the PAIA Guide prepared by the Regulator as well as </w:t>
      </w:r>
      <w:r w:rsidR="000D1B05">
        <w:t xml:space="preserve">assistance from </w:t>
      </w:r>
      <w:r>
        <w:t>AJM</w:t>
      </w:r>
      <w:r w:rsidR="000D1B05">
        <w:t xml:space="preserve"> in undertaking the request process</w:t>
      </w:r>
      <w:r w:rsidR="003F0558">
        <w:t xml:space="preserve">. </w:t>
      </w:r>
      <w:r>
        <w:t>AJM</w:t>
      </w:r>
      <w:r w:rsidR="000D1B05">
        <w:t xml:space="preserve"> </w:t>
      </w:r>
      <w:r w:rsidR="0019395B">
        <w:t>takes extreme care to ensure all the records we hold are protected from unlawful access and are processed</w:t>
      </w:r>
      <w:r w:rsidR="009F02EC">
        <w:t xml:space="preserve"> </w:t>
      </w:r>
      <w:r w:rsidR="0019395B">
        <w:t>in accordance with South African law</w:t>
      </w:r>
      <w:r w:rsidR="009F02EC">
        <w:t xml:space="preserve">. To this end, </w:t>
      </w:r>
      <w:r>
        <w:t>AJM</w:t>
      </w:r>
      <w:r w:rsidR="009F02EC">
        <w:t xml:space="preserve"> has prepared this PAIA manual </w:t>
      </w:r>
      <w:r w:rsidR="00E445CB">
        <w:t>in accordance with the requirements of section 51 of PAIA</w:t>
      </w:r>
      <w:r w:rsidR="009F02EC">
        <w:t xml:space="preserve"> to assist anyone where they seek to request access to information held by </w:t>
      </w:r>
      <w:r>
        <w:t>AJM</w:t>
      </w:r>
      <w:r w:rsidR="009F02EC">
        <w:t xml:space="preserve"> under PAIA</w:t>
      </w:r>
      <w:r w:rsidR="00E445CB">
        <w:t>.</w:t>
      </w:r>
      <w:r w:rsidR="009F02EC">
        <w:t xml:space="preserve"> </w:t>
      </w:r>
    </w:p>
    <w:p w14:paraId="750377F0" w14:textId="2303A3BA" w:rsidR="00C23E5B" w:rsidRDefault="003F0558" w:rsidP="009207A6">
      <w:pPr>
        <w:pStyle w:val="BodyLevel1"/>
      </w:pPr>
      <w:r>
        <w:t xml:space="preserve">DEFINITIONS AND INTERPRETATION </w:t>
      </w:r>
    </w:p>
    <w:p w14:paraId="09E0B6C7" w14:textId="77777777" w:rsidR="00646DB9" w:rsidRPr="00E97405" w:rsidRDefault="00646DB9" w:rsidP="009207A6">
      <w:pPr>
        <w:pStyle w:val="Body"/>
        <w:ind w:left="567"/>
        <w:rPr>
          <w:b/>
        </w:rPr>
      </w:pPr>
      <w:r w:rsidRPr="00E97405">
        <w:t>In this Agreement, unless otherwise indicated by context, the following words and expressions bear the meanings assigned to them and cognate expressions bear corresponding meanings:</w:t>
      </w:r>
    </w:p>
    <w:p w14:paraId="5FB425DE" w14:textId="4C6B7583" w:rsidR="00646DB9" w:rsidRDefault="00646DB9" w:rsidP="009207A6">
      <w:pPr>
        <w:pStyle w:val="BodyLevel2"/>
      </w:pPr>
      <w:r>
        <w:t>"</w:t>
      </w:r>
      <w:r w:rsidRPr="004A0A12">
        <w:rPr>
          <w:b/>
          <w:bCs/>
        </w:rPr>
        <w:t>CEO</w:t>
      </w:r>
      <w:r>
        <w:t xml:space="preserve">" means the Chief Executive Officer; </w:t>
      </w:r>
    </w:p>
    <w:p w14:paraId="031496A8" w14:textId="6E7AA632" w:rsidR="00646DB9" w:rsidRDefault="00646DB9" w:rsidP="009207A6">
      <w:pPr>
        <w:pStyle w:val="BodyLevel2"/>
      </w:pPr>
      <w:r>
        <w:t>"</w:t>
      </w:r>
      <w:r w:rsidRPr="004A0A12">
        <w:rPr>
          <w:b/>
          <w:bCs/>
        </w:rPr>
        <w:t>IO</w:t>
      </w:r>
      <w:r>
        <w:t xml:space="preserve">" means Information Officer; </w:t>
      </w:r>
    </w:p>
    <w:p w14:paraId="7F9284E8" w14:textId="1C888F2D" w:rsidR="00646DB9" w:rsidRDefault="00646DB9" w:rsidP="009207A6">
      <w:pPr>
        <w:pStyle w:val="BodyLevel2"/>
      </w:pPr>
      <w:r>
        <w:t>"</w:t>
      </w:r>
      <w:r w:rsidRPr="004A0A12">
        <w:rPr>
          <w:b/>
          <w:bCs/>
        </w:rPr>
        <w:t>PAIA</w:t>
      </w:r>
      <w:r>
        <w:t xml:space="preserve">" means the </w:t>
      </w:r>
      <w:r w:rsidRPr="00196628">
        <w:rPr>
          <w:i/>
          <w:iCs/>
        </w:rPr>
        <w:t>Promotion of Access to Information Act, 2 of 2000,</w:t>
      </w:r>
      <w:r>
        <w:t xml:space="preserve"> as amended; </w:t>
      </w:r>
    </w:p>
    <w:p w14:paraId="3DE970D0" w14:textId="4DD53F10" w:rsidR="00646DB9" w:rsidRDefault="00646DB9" w:rsidP="009207A6">
      <w:pPr>
        <w:pStyle w:val="BodyLevel2"/>
      </w:pPr>
      <w:r>
        <w:t>"</w:t>
      </w:r>
      <w:proofErr w:type="spellStart"/>
      <w:r w:rsidRPr="004A0A12">
        <w:rPr>
          <w:b/>
          <w:bCs/>
        </w:rPr>
        <w:t>POPI</w:t>
      </w:r>
      <w:proofErr w:type="spellEnd"/>
      <w:r>
        <w:t xml:space="preserve">" means the </w:t>
      </w:r>
      <w:r w:rsidRPr="00196628">
        <w:rPr>
          <w:i/>
          <w:iCs/>
        </w:rPr>
        <w:t>Protection of Personal Information Act, 4 of 2013</w:t>
      </w:r>
      <w:r>
        <w:t xml:space="preserve">, as amended; </w:t>
      </w:r>
    </w:p>
    <w:p w14:paraId="08E13144" w14:textId="582E4216" w:rsidR="00646DB9" w:rsidRDefault="00646DB9" w:rsidP="009207A6">
      <w:pPr>
        <w:pStyle w:val="BodyLevel2"/>
      </w:pPr>
      <w:r>
        <w:t>"</w:t>
      </w:r>
      <w:r w:rsidRPr="004A0A12">
        <w:rPr>
          <w:b/>
          <w:bCs/>
        </w:rPr>
        <w:t>Regulator</w:t>
      </w:r>
      <w:r>
        <w:t xml:space="preserve">" means the Information </w:t>
      </w:r>
      <w:r w:rsidR="00132B62">
        <w:t>Regulator</w:t>
      </w:r>
      <w:r>
        <w:t xml:space="preserve"> established in terms of section </w:t>
      </w:r>
      <w:r w:rsidR="0014014B">
        <w:t>39</w:t>
      </w:r>
      <w:r>
        <w:t xml:space="preserve"> of </w:t>
      </w:r>
      <w:proofErr w:type="spellStart"/>
      <w:r>
        <w:t>POPI</w:t>
      </w:r>
      <w:proofErr w:type="spellEnd"/>
      <w:r>
        <w:t xml:space="preserve">; </w:t>
      </w:r>
    </w:p>
    <w:p w14:paraId="762E4C09" w14:textId="170F182B" w:rsidR="0011042A" w:rsidRDefault="0011042A" w:rsidP="009207A6">
      <w:pPr>
        <w:pStyle w:val="BodyLevel2"/>
      </w:pPr>
      <w:r>
        <w:t>"</w:t>
      </w:r>
      <w:r w:rsidRPr="0014014B">
        <w:rPr>
          <w:b/>
          <w:bCs/>
        </w:rPr>
        <w:t>Regulations</w:t>
      </w:r>
      <w:r>
        <w:t xml:space="preserve">" means the regulations published in terms of section </w:t>
      </w:r>
      <w:r w:rsidR="0014014B">
        <w:t>92 of PAIA; and</w:t>
      </w:r>
    </w:p>
    <w:p w14:paraId="7A8C5FA6" w14:textId="738B4358" w:rsidR="00646DB9" w:rsidRDefault="003F0558" w:rsidP="009207A6">
      <w:pPr>
        <w:pStyle w:val="BodyLevel2"/>
      </w:pPr>
      <w:r>
        <w:t>"</w:t>
      </w:r>
      <w:r w:rsidRPr="004A0A12">
        <w:rPr>
          <w:b/>
          <w:bCs/>
        </w:rPr>
        <w:t>South Africa</w:t>
      </w:r>
      <w:r>
        <w:t xml:space="preserve">" means the Republic of South Africa. </w:t>
      </w:r>
    </w:p>
    <w:p w14:paraId="40A38C91" w14:textId="516A5B58" w:rsidR="003F0558" w:rsidRDefault="003F0558" w:rsidP="009207A6">
      <w:pPr>
        <w:pStyle w:val="BodyLevel1"/>
      </w:pPr>
      <w:r>
        <w:t xml:space="preserve">PURPOSE </w:t>
      </w:r>
      <w:r w:rsidR="00BA4D7D">
        <w:t xml:space="preserve">OF </w:t>
      </w:r>
      <w:r w:rsidR="00D04558">
        <w:t>AJM</w:t>
      </w:r>
      <w:r w:rsidR="00BA4D7D">
        <w:t xml:space="preserve"> </w:t>
      </w:r>
      <w:r>
        <w:t xml:space="preserve">PAIA MANUAL </w:t>
      </w:r>
    </w:p>
    <w:p w14:paraId="7A805394" w14:textId="091117A2" w:rsidR="00257FEC" w:rsidRDefault="00257FEC" w:rsidP="009207A6">
      <w:pPr>
        <w:pStyle w:val="Body"/>
        <w:ind w:left="567"/>
      </w:pPr>
      <w:r>
        <w:t>Th</w:t>
      </w:r>
      <w:r w:rsidR="008E1CC5">
        <w:t>e purpose of this</w:t>
      </w:r>
      <w:r>
        <w:t xml:space="preserve"> PAIA manual </w:t>
      </w:r>
      <w:r w:rsidR="0025577A">
        <w:t xml:space="preserve">is </w:t>
      </w:r>
      <w:r w:rsidR="008E1CC5">
        <w:t xml:space="preserve">to assist </w:t>
      </w:r>
      <w:r w:rsidR="0086563C">
        <w:t xml:space="preserve">anyone </w:t>
      </w:r>
      <w:r w:rsidR="008E1CC5">
        <w:t>to</w:t>
      </w:r>
      <w:r w:rsidR="0025577A">
        <w:t xml:space="preserve">: </w:t>
      </w:r>
    </w:p>
    <w:p w14:paraId="30AA0610" w14:textId="2AE8BEBE" w:rsidR="003F0558" w:rsidRDefault="00FF2B27" w:rsidP="009207A6">
      <w:pPr>
        <w:pStyle w:val="BodyLevel2"/>
      </w:pPr>
      <w:r>
        <w:t>review</w:t>
      </w:r>
      <w:r w:rsidR="003F0558">
        <w:t xml:space="preserve"> the categories of records held by </w:t>
      </w:r>
      <w:r w:rsidR="00D04558">
        <w:t>AJM</w:t>
      </w:r>
      <w:r w:rsidR="002D1F57">
        <w:t>,</w:t>
      </w:r>
      <w:r w:rsidR="003F0558">
        <w:t xml:space="preserve"> which are available without having to submit a formal PAIA request;</w:t>
      </w:r>
    </w:p>
    <w:p w14:paraId="690A906F" w14:textId="6A6E3338" w:rsidR="003F0558" w:rsidRDefault="00DA3FCB" w:rsidP="009207A6">
      <w:pPr>
        <w:pStyle w:val="BodyLevel2"/>
      </w:pPr>
      <w:r>
        <w:t>understand</w:t>
      </w:r>
      <w:r w:rsidR="003F0558">
        <w:t xml:space="preserve"> how to make a request for access to a record of </w:t>
      </w:r>
      <w:r w:rsidR="00D04558">
        <w:t>AJM</w:t>
      </w:r>
      <w:r w:rsidR="003F0558">
        <w:t xml:space="preserve">, by providing a description of the subjects on which </w:t>
      </w:r>
      <w:r w:rsidR="0086563C">
        <w:t>we</w:t>
      </w:r>
      <w:r w:rsidR="003F0558">
        <w:t xml:space="preserve"> hold records and the categories of records held </w:t>
      </w:r>
      <w:r>
        <w:t>under</w:t>
      </w:r>
      <w:r w:rsidR="003F0558">
        <w:t xml:space="preserve"> each subject;</w:t>
      </w:r>
    </w:p>
    <w:p w14:paraId="0C280949" w14:textId="3DEA526B" w:rsidR="003F0558" w:rsidRDefault="00DA3FCB" w:rsidP="009207A6">
      <w:pPr>
        <w:pStyle w:val="BodyLevel2"/>
      </w:pPr>
      <w:r>
        <w:t>review</w:t>
      </w:r>
      <w:r w:rsidR="003F0558">
        <w:t xml:space="preserve"> the </w:t>
      </w:r>
      <w:r>
        <w:t xml:space="preserve">types of </w:t>
      </w:r>
      <w:r w:rsidR="003F0558">
        <w:t xml:space="preserve">records of </w:t>
      </w:r>
      <w:r w:rsidR="00D04558">
        <w:t>AJM</w:t>
      </w:r>
      <w:r w:rsidR="002D1F57">
        <w:t>,</w:t>
      </w:r>
      <w:r w:rsidR="003F0558">
        <w:t xml:space="preserve"> which are available in accordance with any other legislation;</w:t>
      </w:r>
    </w:p>
    <w:p w14:paraId="4600F0F5" w14:textId="4B4899AF" w:rsidR="003F0558" w:rsidRDefault="003F0558" w:rsidP="009207A6">
      <w:pPr>
        <w:pStyle w:val="BodyLevel2"/>
      </w:pPr>
      <w:r>
        <w:t xml:space="preserve">access all the relevant contact details of the </w:t>
      </w:r>
      <w:r w:rsidR="008B15AE">
        <w:t>IO</w:t>
      </w:r>
      <w:r>
        <w:t xml:space="preserve"> </w:t>
      </w:r>
      <w:r w:rsidR="001A17E7">
        <w:t xml:space="preserve">of </w:t>
      </w:r>
      <w:r w:rsidR="00D04558">
        <w:t>AJM</w:t>
      </w:r>
      <w:r w:rsidR="001A17E7">
        <w:t xml:space="preserve"> </w:t>
      </w:r>
      <w:r>
        <w:t xml:space="preserve">who will assist with the records </w:t>
      </w:r>
      <w:r w:rsidR="0086563C">
        <w:t>anyone</w:t>
      </w:r>
      <w:r>
        <w:t xml:space="preserve"> intend</w:t>
      </w:r>
      <w:r w:rsidR="0086563C">
        <w:t>s</w:t>
      </w:r>
      <w:r>
        <w:t xml:space="preserve"> to access;</w:t>
      </w:r>
    </w:p>
    <w:p w14:paraId="0CC34F71" w14:textId="0ABBE806" w:rsidR="003F0558" w:rsidRDefault="00DA3FCB" w:rsidP="009207A6">
      <w:pPr>
        <w:pStyle w:val="BodyLevel2"/>
      </w:pPr>
      <w:r>
        <w:t>understand how to access the</w:t>
      </w:r>
      <w:r w:rsidR="003F0558">
        <w:t xml:space="preserve"> guide on how to use PAIA, as updated by the Regulator;</w:t>
      </w:r>
    </w:p>
    <w:p w14:paraId="0285EEC1" w14:textId="6168B314" w:rsidR="003F0558" w:rsidRDefault="001A17E7" w:rsidP="009207A6">
      <w:pPr>
        <w:pStyle w:val="BodyLevel2"/>
      </w:pPr>
      <w:r>
        <w:t>understand whether</w:t>
      </w:r>
      <w:r w:rsidR="003F0558">
        <w:t xml:space="preserve"> </w:t>
      </w:r>
      <w:r w:rsidR="00D04558">
        <w:t>AJM</w:t>
      </w:r>
      <w:r w:rsidR="003F0558">
        <w:t xml:space="preserve"> will process personal information, the purpose</w:t>
      </w:r>
      <w:r w:rsidR="0086563C">
        <w:t>s</w:t>
      </w:r>
      <w:r w:rsidR="003F0558">
        <w:t xml:space="preserve"> </w:t>
      </w:r>
      <w:r w:rsidR="0086563C">
        <w:t xml:space="preserve">for which </w:t>
      </w:r>
      <w:r>
        <w:t>we</w:t>
      </w:r>
      <w:r w:rsidR="0086563C">
        <w:t xml:space="preserve"> </w:t>
      </w:r>
      <w:r>
        <w:t>process</w:t>
      </w:r>
      <w:r w:rsidR="003F0558">
        <w:t xml:space="preserve"> personal information</w:t>
      </w:r>
      <w:r w:rsidR="002D1F57">
        <w:t>,</w:t>
      </w:r>
      <w:r w:rsidR="003F0558">
        <w:t xml:space="preserve"> and the description of the categories of data subjects and of the information or categories of information relating thereto; </w:t>
      </w:r>
    </w:p>
    <w:p w14:paraId="13D9DD9F" w14:textId="4D449199" w:rsidR="003F0558" w:rsidRDefault="00B47505" w:rsidP="009207A6">
      <w:pPr>
        <w:pStyle w:val="BodyLevel2"/>
      </w:pPr>
      <w:r>
        <w:t xml:space="preserve">distinguish </w:t>
      </w:r>
      <w:r w:rsidR="003F0558">
        <w:t>the categories of data subjects and of the information or categories of information relating thereto;</w:t>
      </w:r>
    </w:p>
    <w:p w14:paraId="346BA808" w14:textId="7C6162A5" w:rsidR="003F0558" w:rsidRDefault="00B47505" w:rsidP="009207A6">
      <w:pPr>
        <w:pStyle w:val="BodyLevel2"/>
      </w:pPr>
      <w:r>
        <w:t xml:space="preserve">identify the third parties </w:t>
      </w:r>
      <w:r w:rsidR="003F0558">
        <w:t>to whom personal information may be supplied</w:t>
      </w:r>
      <w:r>
        <w:t xml:space="preserve"> by </w:t>
      </w:r>
      <w:r w:rsidR="00D04558">
        <w:t>AJM</w:t>
      </w:r>
      <w:r w:rsidR="003F0558">
        <w:t>;</w:t>
      </w:r>
    </w:p>
    <w:p w14:paraId="7F89A157" w14:textId="3BCE713A" w:rsidR="003F0558" w:rsidRDefault="00B47505" w:rsidP="009207A6">
      <w:pPr>
        <w:pStyle w:val="BodyLevel2"/>
      </w:pPr>
      <w:r>
        <w:t xml:space="preserve">identify if </w:t>
      </w:r>
      <w:r w:rsidR="00D04558">
        <w:t>AJM</w:t>
      </w:r>
      <w:r w:rsidR="003F0558">
        <w:t xml:space="preserve"> has planned to transfer or process personal information outside of South Africa and the </w:t>
      </w:r>
      <w:r>
        <w:t>parties</w:t>
      </w:r>
      <w:r w:rsidR="003F0558">
        <w:t xml:space="preserve"> to whom the personal information may be </w:t>
      </w:r>
      <w:r w:rsidR="001A17E7">
        <w:t>transferred</w:t>
      </w:r>
      <w:r w:rsidR="003F0558">
        <w:t>; and</w:t>
      </w:r>
    </w:p>
    <w:p w14:paraId="7D0E792D" w14:textId="08AAE8CD" w:rsidR="003F0558" w:rsidRDefault="00841550" w:rsidP="009207A6">
      <w:pPr>
        <w:pStyle w:val="BodyLevel2"/>
      </w:pPr>
      <w:r>
        <w:t>understand the</w:t>
      </w:r>
      <w:r w:rsidR="003F0558">
        <w:t xml:space="preserve"> appropriate security measures </w:t>
      </w:r>
      <w:r>
        <w:t xml:space="preserve">which </w:t>
      </w:r>
      <w:r w:rsidR="00D04558">
        <w:t>AJM</w:t>
      </w:r>
      <w:r>
        <w:t xml:space="preserve"> employs </w:t>
      </w:r>
      <w:r w:rsidR="003F0558">
        <w:t>to ensure the confidentiality, integrity</w:t>
      </w:r>
      <w:r w:rsidR="002D1F57">
        <w:t>,</w:t>
      </w:r>
      <w:r w:rsidR="003F0558">
        <w:t xml:space="preserve"> and availability of the personal information </w:t>
      </w:r>
      <w:r>
        <w:t>we</w:t>
      </w:r>
      <w:r w:rsidR="003F0558">
        <w:t xml:space="preserve"> process</w:t>
      </w:r>
      <w:r w:rsidR="00242688">
        <w:t xml:space="preserve">. </w:t>
      </w:r>
    </w:p>
    <w:p w14:paraId="7E7F6C63" w14:textId="77777777" w:rsidR="002D1F57" w:rsidRDefault="002D1F57" w:rsidP="002D1F57">
      <w:pPr>
        <w:pStyle w:val="BodyLevel2"/>
        <w:numPr>
          <w:ilvl w:val="0"/>
          <w:numId w:val="0"/>
        </w:numPr>
        <w:ind w:left="1418"/>
      </w:pPr>
    </w:p>
    <w:p w14:paraId="5E6897CB" w14:textId="571A7817" w:rsidR="005B71AD" w:rsidRDefault="005B71AD" w:rsidP="009207A6">
      <w:pPr>
        <w:pStyle w:val="BodyLevel1"/>
      </w:pPr>
      <w:r>
        <w:lastRenderedPageBreak/>
        <w:t>GUIDE ON HOW TO USE PAIA AND HOW TO OBTAIN ACCESS TO THE GUIDE</w:t>
      </w:r>
    </w:p>
    <w:p w14:paraId="2D7DEBEA" w14:textId="7539BFCB" w:rsidR="005B71AD" w:rsidRPr="005B71AD" w:rsidRDefault="005B71AD" w:rsidP="009207A6">
      <w:pPr>
        <w:pStyle w:val="BodyLevel2"/>
      </w:pPr>
      <w:r w:rsidRPr="00AC5C4C">
        <w:rPr>
          <w:szCs w:val="20"/>
        </w:rPr>
        <w:t xml:space="preserve">The Regulator has, in terms of section 10(1) of PAIA, </w:t>
      </w:r>
      <w:r w:rsidRPr="00AC5C4C">
        <w:rPr>
          <w:color w:val="2F2A2B"/>
          <w:szCs w:val="20"/>
        </w:rPr>
        <w:t>updated and made available the revised Guide</w:t>
      </w:r>
      <w:r w:rsidRPr="00AC5C4C">
        <w:rPr>
          <w:b/>
          <w:bCs/>
          <w:szCs w:val="20"/>
        </w:rPr>
        <w:t xml:space="preserve"> </w:t>
      </w:r>
      <w:r w:rsidRPr="00AC5C4C">
        <w:rPr>
          <w:bCs/>
          <w:color w:val="2F2A2B"/>
          <w:szCs w:val="20"/>
        </w:rPr>
        <w:t>on how to use PAIA (“</w:t>
      </w:r>
      <w:r w:rsidRPr="005B71AD">
        <w:rPr>
          <w:b/>
          <w:color w:val="2F2A2B"/>
          <w:szCs w:val="20"/>
        </w:rPr>
        <w:t>PAIA Guide</w:t>
      </w:r>
      <w:r w:rsidRPr="00AC5C4C">
        <w:rPr>
          <w:bCs/>
          <w:color w:val="2F2A2B"/>
          <w:szCs w:val="20"/>
        </w:rPr>
        <w:t>”)</w:t>
      </w:r>
      <w:r w:rsidRPr="00AC5C4C">
        <w:rPr>
          <w:color w:val="2F2A2B"/>
          <w:szCs w:val="20"/>
        </w:rPr>
        <w:t xml:space="preserve">, in an easily comprehensible form and manner, as may reasonably be required by a person who wishes to exercise any right contemplated in PAIA and </w:t>
      </w:r>
      <w:proofErr w:type="spellStart"/>
      <w:r w:rsidRPr="00AC5C4C">
        <w:rPr>
          <w:color w:val="2F2A2B"/>
          <w:szCs w:val="20"/>
        </w:rPr>
        <w:t>POPI</w:t>
      </w:r>
      <w:proofErr w:type="spellEnd"/>
      <w:r w:rsidRPr="00AC5C4C">
        <w:rPr>
          <w:color w:val="2F2A2B"/>
          <w:szCs w:val="20"/>
        </w:rPr>
        <w:t>.</w:t>
      </w:r>
      <w:r>
        <w:rPr>
          <w:color w:val="2F2A2B"/>
          <w:szCs w:val="20"/>
        </w:rPr>
        <w:t xml:space="preserve"> </w:t>
      </w:r>
    </w:p>
    <w:p w14:paraId="225315D6" w14:textId="1B55E09B" w:rsidR="005B71AD" w:rsidRPr="005B71AD" w:rsidRDefault="005B71AD" w:rsidP="009207A6">
      <w:pPr>
        <w:pStyle w:val="BodyLevel2"/>
      </w:pPr>
      <w:r>
        <w:t xml:space="preserve">The Regulator has made the PAIA Guide available </w:t>
      </w:r>
      <w:r w:rsidRPr="00AC5C4C">
        <w:rPr>
          <w:szCs w:val="20"/>
          <w:lang w:val="en-US"/>
        </w:rPr>
        <w:t>in each of the official languages</w:t>
      </w:r>
      <w:r>
        <w:rPr>
          <w:szCs w:val="20"/>
          <w:lang w:val="en-US"/>
        </w:rPr>
        <w:t xml:space="preserve"> of South Africa</w:t>
      </w:r>
      <w:r w:rsidRPr="00AC5C4C">
        <w:rPr>
          <w:szCs w:val="20"/>
          <w:lang w:val="en-US"/>
        </w:rPr>
        <w:t xml:space="preserve"> and in braille</w:t>
      </w:r>
      <w:r>
        <w:rPr>
          <w:szCs w:val="20"/>
          <w:lang w:val="en-US"/>
        </w:rPr>
        <w:t xml:space="preserve">. </w:t>
      </w:r>
    </w:p>
    <w:p w14:paraId="48965CD8" w14:textId="147A9E0E" w:rsidR="005B71AD" w:rsidRDefault="005B71AD" w:rsidP="009207A6">
      <w:pPr>
        <w:pStyle w:val="BodyLevel2"/>
      </w:pPr>
      <w:r>
        <w:t xml:space="preserve">The PAIA Guide contains </w:t>
      </w:r>
      <w:r w:rsidR="00DA3FCB">
        <w:t>the following</w:t>
      </w:r>
      <w:r w:rsidR="00115DD8">
        <w:t xml:space="preserve">: </w:t>
      </w:r>
    </w:p>
    <w:p w14:paraId="47CA15B8" w14:textId="0B8E0603" w:rsidR="00115DD8" w:rsidRDefault="00115DD8" w:rsidP="009207A6">
      <w:pPr>
        <w:pStyle w:val="BodyLevel3"/>
      </w:pPr>
      <w:r>
        <w:t xml:space="preserve">The objects of PAIA as well as </w:t>
      </w:r>
      <w:proofErr w:type="spellStart"/>
      <w:r>
        <w:t>POPI</w:t>
      </w:r>
      <w:proofErr w:type="spellEnd"/>
      <w:r>
        <w:t xml:space="preserve">; </w:t>
      </w:r>
    </w:p>
    <w:p w14:paraId="62896A98" w14:textId="796E0BA5" w:rsidR="00115DD8" w:rsidRDefault="00115DD8" w:rsidP="009207A6">
      <w:pPr>
        <w:pStyle w:val="BodyLevel3"/>
      </w:pPr>
      <w:r>
        <w:t>How to access the postal address, telephone number</w:t>
      </w:r>
      <w:r w:rsidR="002D1F57">
        <w:t>,</w:t>
      </w:r>
      <w:r>
        <w:t xml:space="preserve"> and email address of every registered IO</w:t>
      </w:r>
      <w:r w:rsidR="00A45F75">
        <w:t xml:space="preserve"> (for both public and private bodies); </w:t>
      </w:r>
    </w:p>
    <w:p w14:paraId="430FD7EA" w14:textId="0D57DC8D" w:rsidR="00A45F75" w:rsidRDefault="00A45F75" w:rsidP="009207A6">
      <w:pPr>
        <w:pStyle w:val="BodyLevel3"/>
      </w:pPr>
      <w:r>
        <w:t xml:space="preserve">The manner and form of request for: </w:t>
      </w:r>
    </w:p>
    <w:p w14:paraId="7EB4C378" w14:textId="37336DCE" w:rsidR="00A45F75" w:rsidRDefault="00A45F75" w:rsidP="009207A6">
      <w:pPr>
        <w:pStyle w:val="BodyLevel4"/>
      </w:pPr>
      <w:r w:rsidRPr="00A45F75">
        <w:t>access to a record of a public body contemplated in section 11</w:t>
      </w:r>
      <w:r w:rsidR="00B31F04">
        <w:t xml:space="preserve"> of PAIA</w:t>
      </w:r>
      <w:r w:rsidRPr="00A45F75">
        <w:t>; and</w:t>
      </w:r>
      <w:r>
        <w:t xml:space="preserve"> </w:t>
      </w:r>
    </w:p>
    <w:p w14:paraId="6D008C80" w14:textId="568716AB" w:rsidR="00A45F75" w:rsidRPr="00A45F75" w:rsidRDefault="00A45F75" w:rsidP="009207A6">
      <w:pPr>
        <w:pStyle w:val="BodyLevel4"/>
      </w:pPr>
      <w:r w:rsidRPr="00AC5C4C">
        <w:rPr>
          <w:szCs w:val="20"/>
        </w:rPr>
        <w:t>access to a record of a private body contemplated in section 50</w:t>
      </w:r>
      <w:r w:rsidR="00B31F04">
        <w:rPr>
          <w:szCs w:val="20"/>
        </w:rPr>
        <w:t xml:space="preserve"> of PAIA</w:t>
      </w:r>
      <w:r>
        <w:rPr>
          <w:szCs w:val="20"/>
        </w:rPr>
        <w:t>.</w:t>
      </w:r>
    </w:p>
    <w:p w14:paraId="0A8BC716" w14:textId="177D7E7B" w:rsidR="00A45F75" w:rsidRDefault="00A45F75" w:rsidP="009207A6">
      <w:pPr>
        <w:pStyle w:val="BodyLevel3"/>
      </w:pPr>
      <w:r>
        <w:t xml:space="preserve">the assistance available from the IO of a body in terms of PAIA and </w:t>
      </w:r>
      <w:proofErr w:type="spellStart"/>
      <w:r>
        <w:t>POPI</w:t>
      </w:r>
      <w:proofErr w:type="spellEnd"/>
      <w:r>
        <w:t>;</w:t>
      </w:r>
    </w:p>
    <w:p w14:paraId="2F615196" w14:textId="347D7EFE" w:rsidR="00A45F75" w:rsidRDefault="00A45F75" w:rsidP="009207A6">
      <w:pPr>
        <w:pStyle w:val="BodyLevel3"/>
      </w:pPr>
      <w:r>
        <w:t xml:space="preserve">the assistance available from the Regulator in terms of PAIA and </w:t>
      </w:r>
      <w:proofErr w:type="spellStart"/>
      <w:r>
        <w:t>POPI</w:t>
      </w:r>
      <w:proofErr w:type="spellEnd"/>
      <w:r>
        <w:t>;</w:t>
      </w:r>
    </w:p>
    <w:p w14:paraId="771C21B3" w14:textId="7726470F" w:rsidR="00A45F75" w:rsidRDefault="00A45F75" w:rsidP="009207A6">
      <w:pPr>
        <w:pStyle w:val="BodyLevel3"/>
      </w:pPr>
      <w:r>
        <w:t xml:space="preserve">all remedies in law available regarding an act or failure to act in respect of a right or duty conferred or imposed by PAIA and </w:t>
      </w:r>
      <w:proofErr w:type="spellStart"/>
      <w:r>
        <w:t>POPI</w:t>
      </w:r>
      <w:proofErr w:type="spellEnd"/>
      <w:r>
        <w:t xml:space="preserve">, including the manner of lodging – </w:t>
      </w:r>
    </w:p>
    <w:p w14:paraId="45FD3C71" w14:textId="77777777" w:rsidR="00A45F75" w:rsidRPr="00AC5C4C" w:rsidRDefault="00A45F75" w:rsidP="009207A6">
      <w:pPr>
        <w:pStyle w:val="BodyLevel4"/>
      </w:pPr>
      <w:r w:rsidRPr="00AC5C4C">
        <w:t xml:space="preserve">an internal appeal; </w:t>
      </w:r>
    </w:p>
    <w:p w14:paraId="1F0486F5" w14:textId="77777777" w:rsidR="00A45F75" w:rsidRPr="00AC5C4C" w:rsidRDefault="00A45F75" w:rsidP="009207A6">
      <w:pPr>
        <w:pStyle w:val="BodyLevel4"/>
      </w:pPr>
      <w:r w:rsidRPr="00AC5C4C">
        <w:t xml:space="preserve">a complaint to the Regulator; and </w:t>
      </w:r>
    </w:p>
    <w:p w14:paraId="1396E1C8" w14:textId="0613D8AA" w:rsidR="00A45F75" w:rsidRDefault="00A45F75" w:rsidP="009207A6">
      <w:pPr>
        <w:pStyle w:val="BodyLevel4"/>
      </w:pPr>
      <w:r w:rsidRPr="00AC5C4C">
        <w:t xml:space="preserve">an application with a court against a decision by the </w:t>
      </w:r>
      <w:r w:rsidR="00F6076E">
        <w:t>IO</w:t>
      </w:r>
      <w:r w:rsidRPr="00AC5C4C">
        <w:t xml:space="preserve"> of a public body, a decision on internal appeal or a decision by the Regulator or a decision of the head of a private body;</w:t>
      </w:r>
    </w:p>
    <w:p w14:paraId="539719A6" w14:textId="5742DE8C" w:rsidR="00AB0400" w:rsidRDefault="00AB0400" w:rsidP="009207A6">
      <w:pPr>
        <w:pStyle w:val="BodyLevel3"/>
      </w:pPr>
      <w:r w:rsidRPr="00AB0400">
        <w:t>the provisions of sections 14</w:t>
      </w:r>
      <w:r>
        <w:t xml:space="preserve"> </w:t>
      </w:r>
      <w:r w:rsidRPr="00AB0400">
        <w:t xml:space="preserve">and 51 </w:t>
      </w:r>
      <w:r w:rsidR="00B31F04">
        <w:t xml:space="preserve">of PAIA </w:t>
      </w:r>
      <w:r w:rsidRPr="00AB0400">
        <w:t>requiring a public body and private body, respectively, to compile a manual, and how to obtain access to a manual;</w:t>
      </w:r>
      <w:r>
        <w:t xml:space="preserve"> </w:t>
      </w:r>
    </w:p>
    <w:p w14:paraId="1B2AF9AA" w14:textId="33E009CD" w:rsidR="00AB0400" w:rsidRDefault="00AB0400" w:rsidP="009207A6">
      <w:pPr>
        <w:pStyle w:val="BodyLevel3"/>
      </w:pPr>
      <w:r>
        <w:t xml:space="preserve">the provisions of sections 15 and 52 </w:t>
      </w:r>
      <w:r w:rsidR="00B31F04">
        <w:t xml:space="preserve">of PAIA </w:t>
      </w:r>
      <w:r>
        <w:t>providing for the voluntary disclosure of categories of records by a public body and private body, respectively;</w:t>
      </w:r>
    </w:p>
    <w:p w14:paraId="5AB8A2D5" w14:textId="14B4A78D" w:rsidR="00AB0400" w:rsidRDefault="00AB0400" w:rsidP="009207A6">
      <w:pPr>
        <w:pStyle w:val="BodyLevel3"/>
      </w:pPr>
      <w:r>
        <w:t xml:space="preserve">the notices issued in terms of sections 22 and 54 </w:t>
      </w:r>
      <w:r w:rsidR="00B31F04">
        <w:t xml:space="preserve">of PAIA </w:t>
      </w:r>
      <w:r>
        <w:t>regarding fees to be paid in relation to requests for access; and</w:t>
      </w:r>
    </w:p>
    <w:p w14:paraId="784BA86E" w14:textId="67387F78" w:rsidR="00AB0400" w:rsidRDefault="00AB0400" w:rsidP="009207A6">
      <w:pPr>
        <w:pStyle w:val="BodyLevel3"/>
      </w:pPr>
      <w:r>
        <w:t>the</w:t>
      </w:r>
      <w:r w:rsidR="00B31F04">
        <w:t xml:space="preserve"> </w:t>
      </w:r>
      <w:r w:rsidR="0014014B">
        <w:t>Regulations</w:t>
      </w:r>
      <w:r>
        <w:t xml:space="preserve">. </w:t>
      </w:r>
    </w:p>
    <w:p w14:paraId="052CDE12" w14:textId="0DC1B88C" w:rsidR="00A64CF4" w:rsidRPr="00AC5C4C" w:rsidRDefault="00B31F04" w:rsidP="009207A6">
      <w:pPr>
        <w:pStyle w:val="BodyLevel2"/>
      </w:pPr>
      <w:r>
        <w:t>Anyone</w:t>
      </w:r>
      <w:r w:rsidR="00A64CF4" w:rsidRPr="00AC5C4C">
        <w:t xml:space="preserve"> can inspect or make copies of the </w:t>
      </w:r>
      <w:r w:rsidR="00F6076E">
        <w:t xml:space="preserve">PAIA </w:t>
      </w:r>
      <w:r w:rsidR="00A64CF4" w:rsidRPr="00AC5C4C">
        <w:t xml:space="preserve">Guide from </w:t>
      </w:r>
      <w:r w:rsidR="00D04558">
        <w:t>AJM</w:t>
      </w:r>
      <w:r>
        <w:t xml:space="preserve">'s </w:t>
      </w:r>
      <w:r w:rsidR="00A64CF4" w:rsidRPr="00AC5C4C">
        <w:t xml:space="preserve">offices </w:t>
      </w:r>
      <w:r>
        <w:t>as well a</w:t>
      </w:r>
      <w:r w:rsidR="00A64CF4" w:rsidRPr="00AC5C4C">
        <w:t xml:space="preserve">s the office of the Regulator, during normal working hours. </w:t>
      </w:r>
    </w:p>
    <w:p w14:paraId="2A67AC82" w14:textId="764C3504" w:rsidR="00A64CF4" w:rsidRPr="00AC5C4C" w:rsidRDefault="00A64CF4" w:rsidP="009207A6">
      <w:pPr>
        <w:pStyle w:val="BodyLevel2"/>
      </w:pPr>
      <w:r w:rsidRPr="00AC5C4C">
        <w:t>Th</w:t>
      </w:r>
      <w:r w:rsidR="00B31F04">
        <w:t xml:space="preserve">e PAIA </w:t>
      </w:r>
      <w:r w:rsidRPr="00AC5C4C">
        <w:t>Guide can also be obtained</w:t>
      </w:r>
      <w:r w:rsidR="00B31F04">
        <w:t xml:space="preserve"> </w:t>
      </w:r>
      <w:r w:rsidRPr="00AC5C4C">
        <w:t>-</w:t>
      </w:r>
      <w:r w:rsidR="00B31F04">
        <w:t xml:space="preserve"> </w:t>
      </w:r>
    </w:p>
    <w:p w14:paraId="6651C11B" w14:textId="50B1CD55" w:rsidR="00A64CF4" w:rsidRPr="00AC5C4C" w:rsidRDefault="00A64CF4" w:rsidP="009207A6">
      <w:pPr>
        <w:pStyle w:val="BodyLevel3"/>
      </w:pPr>
      <w:r w:rsidRPr="00AC5C4C">
        <w:t xml:space="preserve">upon request to </w:t>
      </w:r>
      <w:r w:rsidR="00D04558">
        <w:t>AJM</w:t>
      </w:r>
      <w:r w:rsidR="001968DA">
        <w:t xml:space="preserve">'s </w:t>
      </w:r>
      <w:r w:rsidR="000B272D">
        <w:t>IO</w:t>
      </w:r>
      <w:r w:rsidRPr="00AC5C4C">
        <w:t>;</w:t>
      </w:r>
    </w:p>
    <w:p w14:paraId="696A0664" w14:textId="77777777" w:rsidR="00A64CF4" w:rsidRPr="00AC5C4C" w:rsidRDefault="00A64CF4" w:rsidP="009207A6">
      <w:pPr>
        <w:pStyle w:val="BodyLevel3"/>
      </w:pPr>
      <w:r w:rsidRPr="00AC5C4C">
        <w:t>from the website of the Regulator (</w:t>
      </w:r>
      <w:hyperlink r:id="rId8" w:history="1">
        <w:r w:rsidRPr="00AC5C4C">
          <w:rPr>
            <w:rStyle w:val="Hyperlink"/>
            <w:szCs w:val="20"/>
          </w:rPr>
          <w:t>https://www.justice.gov.za/inforeg/</w:t>
        </w:r>
      </w:hyperlink>
      <w:r w:rsidRPr="00AC5C4C">
        <w:t>).</w:t>
      </w:r>
    </w:p>
    <w:p w14:paraId="2B5E325B" w14:textId="0AD0E5C7" w:rsidR="00A64CF4" w:rsidRPr="00AC5C4C" w:rsidRDefault="00A64CF4" w:rsidP="009207A6">
      <w:pPr>
        <w:pStyle w:val="BodyLevel2"/>
      </w:pPr>
      <w:r w:rsidRPr="00AC5C4C">
        <w:t xml:space="preserve">A copy of the </w:t>
      </w:r>
      <w:r w:rsidR="00B31F04">
        <w:t xml:space="preserve">PAIA </w:t>
      </w:r>
      <w:r w:rsidRPr="00AC5C4C">
        <w:t>Guide is also available in the following two official languages, for public inspection during normal office hours-</w:t>
      </w:r>
    </w:p>
    <w:p w14:paraId="05EAB180" w14:textId="68B8D5E3" w:rsidR="00AB0400" w:rsidRDefault="00A64CF4" w:rsidP="009207A6">
      <w:pPr>
        <w:pStyle w:val="BodyLevel3"/>
      </w:pPr>
      <w:r>
        <w:t xml:space="preserve">English; and </w:t>
      </w:r>
    </w:p>
    <w:p w14:paraId="15F26359" w14:textId="481A3791" w:rsidR="00A64CF4" w:rsidRDefault="00A64CF4" w:rsidP="009207A6">
      <w:pPr>
        <w:pStyle w:val="BodyLevel3"/>
      </w:pPr>
      <w:r>
        <w:t xml:space="preserve">Afrikaans. </w:t>
      </w:r>
    </w:p>
    <w:p w14:paraId="16C7A46C" w14:textId="54AA807F" w:rsidR="00CF5AF2" w:rsidRDefault="00D04558" w:rsidP="009207A6">
      <w:pPr>
        <w:pStyle w:val="BodyLevel1"/>
      </w:pPr>
      <w:bookmarkStart w:id="0" w:name="_Ref88475760"/>
      <w:r>
        <w:lastRenderedPageBreak/>
        <w:t>AJM</w:t>
      </w:r>
      <w:r w:rsidR="00CF5AF2">
        <w:t xml:space="preserve"> CONTACT DETAILS FOR ACCESS TO INFORMATION</w:t>
      </w:r>
      <w:bookmarkEnd w:id="0"/>
    </w:p>
    <w:p w14:paraId="03FB93A3" w14:textId="7A24ADEE" w:rsidR="00CF5AF2" w:rsidRPr="00132B62" w:rsidRDefault="008B15AE" w:rsidP="009207A6">
      <w:pPr>
        <w:pStyle w:val="BodyLevel2"/>
        <w:rPr>
          <w:b/>
          <w:bCs/>
          <w:u w:val="single"/>
        </w:rPr>
      </w:pPr>
      <w:r>
        <w:rPr>
          <w:b/>
          <w:bCs/>
          <w:u w:val="single"/>
        </w:rPr>
        <w:t>IO</w:t>
      </w:r>
    </w:p>
    <w:p w14:paraId="655B83DE" w14:textId="25EB1790" w:rsidR="00CF5AF2" w:rsidRPr="008B15AE" w:rsidRDefault="00CF5AF2" w:rsidP="009207A6">
      <w:pPr>
        <w:pStyle w:val="Body"/>
        <w:ind w:left="1418"/>
        <w:rPr>
          <w:lang w:val="nl-NL"/>
        </w:rPr>
      </w:pPr>
      <w:r w:rsidRPr="008B15AE">
        <w:rPr>
          <w:lang w:val="nl-NL"/>
        </w:rPr>
        <w:t xml:space="preserve">Name: </w:t>
      </w:r>
      <w:r w:rsidRPr="008B15AE">
        <w:rPr>
          <w:lang w:val="nl-NL"/>
        </w:rPr>
        <w:tab/>
      </w:r>
      <w:r w:rsidRPr="008B15AE">
        <w:rPr>
          <w:lang w:val="nl-NL"/>
        </w:rPr>
        <w:tab/>
      </w:r>
      <w:r w:rsidR="00B6626A">
        <w:t xml:space="preserve">De Wet de Villiers </w:t>
      </w:r>
    </w:p>
    <w:p w14:paraId="02DEC993" w14:textId="6E11F3DA" w:rsidR="00CF5AF2" w:rsidRDefault="00CF5AF2" w:rsidP="009207A6">
      <w:pPr>
        <w:pStyle w:val="Body"/>
        <w:ind w:left="1418"/>
      </w:pPr>
      <w:r>
        <w:t xml:space="preserve">Telephone: </w:t>
      </w:r>
      <w:r>
        <w:tab/>
      </w:r>
      <w:r w:rsidR="00ED53C1">
        <w:t>+27 (</w:t>
      </w:r>
      <w:r w:rsidR="00AC0567">
        <w:t>0</w:t>
      </w:r>
      <w:r w:rsidR="00ED53C1">
        <w:t>)</w:t>
      </w:r>
      <w:r w:rsidR="00AC0567">
        <w:t>21 202 1220</w:t>
      </w:r>
    </w:p>
    <w:p w14:paraId="37E7AB6C" w14:textId="45B39B85" w:rsidR="00CF5AF2" w:rsidRDefault="00CF5AF2" w:rsidP="009207A6">
      <w:pPr>
        <w:pStyle w:val="Body"/>
        <w:ind w:left="1418"/>
      </w:pPr>
      <w:r>
        <w:t xml:space="preserve">Email: </w:t>
      </w:r>
      <w:r>
        <w:tab/>
      </w:r>
      <w:r>
        <w:tab/>
      </w:r>
      <w:hyperlink r:id="rId9" w:history="1">
        <w:r w:rsidR="00AC0567" w:rsidRPr="005E668E">
          <w:rPr>
            <w:rStyle w:val="Hyperlink"/>
          </w:rPr>
          <w:t>dewetdevilliers@ajmtax.co.za</w:t>
        </w:r>
      </w:hyperlink>
      <w:r w:rsidR="00AC0567">
        <w:t xml:space="preserve"> </w:t>
      </w:r>
    </w:p>
    <w:p w14:paraId="1B36A919" w14:textId="77777777" w:rsidR="00CF5AF2" w:rsidRPr="00132B62" w:rsidRDefault="00CF5AF2" w:rsidP="009207A6">
      <w:pPr>
        <w:pStyle w:val="BodyLevel2"/>
        <w:rPr>
          <w:b/>
          <w:bCs/>
          <w:u w:val="single"/>
        </w:rPr>
      </w:pPr>
      <w:r w:rsidRPr="00132B62">
        <w:rPr>
          <w:b/>
          <w:bCs/>
          <w:u w:val="single"/>
        </w:rPr>
        <w:t xml:space="preserve">GENERAL CONTACT: </w:t>
      </w:r>
    </w:p>
    <w:p w14:paraId="1B01F156" w14:textId="647D9D01" w:rsidR="00CF5AF2" w:rsidRDefault="00CF5AF2" w:rsidP="00D04558">
      <w:pPr>
        <w:pStyle w:val="Body"/>
        <w:ind w:left="1418"/>
      </w:pPr>
      <w:r>
        <w:t xml:space="preserve">Email: </w:t>
      </w:r>
      <w:r>
        <w:tab/>
      </w:r>
      <w:r>
        <w:tab/>
      </w:r>
      <w:hyperlink r:id="rId10" w:history="1">
        <w:r w:rsidR="00D04558" w:rsidRPr="00E540C3">
          <w:rPr>
            <w:rStyle w:val="Hyperlink"/>
          </w:rPr>
          <w:t>admin@ajmtax.co.za</w:t>
        </w:r>
      </w:hyperlink>
      <w:r w:rsidR="00D04558">
        <w:t xml:space="preserve"> </w:t>
      </w:r>
    </w:p>
    <w:p w14:paraId="34942E22" w14:textId="1C5A6E25" w:rsidR="00CF5AF2" w:rsidRPr="00132B62" w:rsidRDefault="00D04558" w:rsidP="009207A6">
      <w:pPr>
        <w:pStyle w:val="BodyLevel2"/>
        <w:rPr>
          <w:b/>
          <w:bCs/>
          <w:u w:val="single"/>
        </w:rPr>
      </w:pPr>
      <w:r>
        <w:rPr>
          <w:b/>
          <w:bCs/>
          <w:u w:val="single"/>
        </w:rPr>
        <w:t>AJM</w:t>
      </w:r>
      <w:r w:rsidR="00CF5AF2" w:rsidRPr="00132B62">
        <w:rPr>
          <w:b/>
          <w:bCs/>
          <w:u w:val="single"/>
        </w:rPr>
        <w:t xml:space="preserve"> HEAD OFFICE </w:t>
      </w:r>
    </w:p>
    <w:p w14:paraId="4ED049C9" w14:textId="03CDC82E" w:rsidR="008B15AE" w:rsidRDefault="00CF5AF2" w:rsidP="008B15AE">
      <w:pPr>
        <w:pStyle w:val="BodyLevel2"/>
        <w:numPr>
          <w:ilvl w:val="1"/>
          <w:numId w:val="1"/>
        </w:numPr>
        <w:rPr>
          <w:lang w:val="en-ZA"/>
        </w:rPr>
      </w:pPr>
      <w:r>
        <w:t xml:space="preserve">Physical Address: </w:t>
      </w:r>
      <w:r>
        <w:tab/>
      </w:r>
      <w:r w:rsidR="00D04558" w:rsidRPr="00D04558">
        <w:t>Suite 1603, Portside Building 4 Bree Street, Cape Town, 8001</w:t>
      </w:r>
    </w:p>
    <w:p w14:paraId="0521BAB2" w14:textId="4EFC640A" w:rsidR="00D04558" w:rsidRPr="008B15AE" w:rsidRDefault="00CF5AF2" w:rsidP="00D04558">
      <w:pPr>
        <w:pStyle w:val="BodyLevel2"/>
        <w:numPr>
          <w:ilvl w:val="1"/>
          <w:numId w:val="1"/>
        </w:numPr>
        <w:rPr>
          <w:b/>
          <w:lang w:val="en-ZA"/>
        </w:rPr>
      </w:pPr>
      <w:r>
        <w:t xml:space="preserve">Postal Address: </w:t>
      </w:r>
      <w:r>
        <w:tab/>
      </w:r>
      <w:r>
        <w:tab/>
      </w:r>
      <w:r w:rsidR="00D04558" w:rsidRPr="00D04558">
        <w:t>Suite 1603, Portside Building 4 Bree Street, Cape Town, 8001</w:t>
      </w:r>
    </w:p>
    <w:p w14:paraId="74113A60" w14:textId="4193510D" w:rsidR="00CF5AF2" w:rsidRDefault="00CF5AF2" w:rsidP="00D04558">
      <w:pPr>
        <w:pStyle w:val="BodyLevel2"/>
      </w:pPr>
      <w:r>
        <w:t xml:space="preserve">Telephone number: </w:t>
      </w:r>
      <w:r>
        <w:tab/>
      </w:r>
      <w:r w:rsidR="00D04558">
        <w:t>+27 (0)21 202 1220</w:t>
      </w:r>
    </w:p>
    <w:p w14:paraId="53F97035" w14:textId="62F1387A" w:rsidR="00CF5AF2" w:rsidRPr="00D04558" w:rsidRDefault="00CF5AF2" w:rsidP="00D04558">
      <w:pPr>
        <w:pStyle w:val="BodyLevel2"/>
        <w:rPr>
          <w:lang w:val="nl-NL"/>
        </w:rPr>
      </w:pPr>
      <w:r w:rsidRPr="00D04558">
        <w:rPr>
          <w:lang w:val="nl-NL"/>
        </w:rPr>
        <w:t xml:space="preserve">Website: </w:t>
      </w:r>
      <w:r w:rsidRPr="00D04558">
        <w:rPr>
          <w:lang w:val="nl-NL"/>
        </w:rPr>
        <w:tab/>
      </w:r>
      <w:r w:rsidR="00D04558" w:rsidRPr="00D04558">
        <w:rPr>
          <w:lang w:val="nl-NL"/>
        </w:rPr>
        <w:tab/>
      </w:r>
      <w:hyperlink r:id="rId11" w:history="1">
        <w:r w:rsidR="00D04558" w:rsidRPr="00E540C3">
          <w:rPr>
            <w:rStyle w:val="Hyperlink"/>
            <w:lang w:val="nl-NL"/>
          </w:rPr>
          <w:t>https://ajmtax.co.za/</w:t>
        </w:r>
      </w:hyperlink>
      <w:r w:rsidR="00D04558">
        <w:rPr>
          <w:lang w:val="nl-NL"/>
        </w:rPr>
        <w:t xml:space="preserve"> </w:t>
      </w:r>
    </w:p>
    <w:p w14:paraId="3364322C" w14:textId="3F4733AB" w:rsidR="00CF5AF2" w:rsidRDefault="00CF5AF2" w:rsidP="009207A6">
      <w:pPr>
        <w:pStyle w:val="BodyLevel1"/>
      </w:pPr>
      <w:r>
        <w:t>PROCEDURE TO REQUEST ACCESS TO INFORMATION</w:t>
      </w:r>
    </w:p>
    <w:p w14:paraId="29CA010B" w14:textId="1FF850E9" w:rsidR="00CF5AF2" w:rsidRPr="00D468F1" w:rsidRDefault="00CF5AF2" w:rsidP="009207A6">
      <w:pPr>
        <w:pStyle w:val="BodyLevel2"/>
      </w:pPr>
      <w:r>
        <w:t xml:space="preserve">A request for access to information for a record held by </w:t>
      </w:r>
      <w:r w:rsidR="00D04558">
        <w:t>AJM</w:t>
      </w:r>
      <w:r>
        <w:t xml:space="preserve"> must be made on a form which corresponds substantially to that of Form 2 of the </w:t>
      </w:r>
      <w:r w:rsidR="0014014B">
        <w:t>Regulations</w:t>
      </w:r>
      <w:r>
        <w:t xml:space="preserve"> (attached hereto as Annexure A) along with proof of payment of the prescribed fee to </w:t>
      </w:r>
      <w:r w:rsidR="00D04558">
        <w:t>AJM</w:t>
      </w:r>
      <w:r>
        <w:t xml:space="preserve">'s </w:t>
      </w:r>
      <w:r w:rsidR="000B272D">
        <w:t>IO</w:t>
      </w:r>
      <w:r>
        <w:t xml:space="preserve"> at the details listed </w:t>
      </w:r>
      <w:r>
        <w:fldChar w:fldCharType="begin"/>
      </w:r>
      <w:r>
        <w:instrText xml:space="preserve"> REF _Ref88475760 \p \h </w:instrText>
      </w:r>
      <w:r w:rsidR="009207A6">
        <w:instrText xml:space="preserve"> \* MERGEFORMAT </w:instrText>
      </w:r>
      <w:r>
        <w:fldChar w:fldCharType="separate"/>
      </w:r>
      <w:r>
        <w:t>above</w:t>
      </w:r>
      <w:r>
        <w:fldChar w:fldCharType="end"/>
      </w:r>
      <w:r>
        <w:t xml:space="preserve">. </w:t>
      </w:r>
    </w:p>
    <w:p w14:paraId="3E23C066" w14:textId="41C4DCE5" w:rsidR="00CF5AF2" w:rsidRDefault="00B76E15" w:rsidP="009207A6">
      <w:pPr>
        <w:pStyle w:val="BodyLevel2"/>
      </w:pPr>
      <w:r>
        <w:t>When completing Form 2 or a form substantially similar, a requester must provide clear and accurate information and clearly state the right which the requestor</w:t>
      </w:r>
      <w:r w:rsidR="003E3B7D">
        <w:t xml:space="preserve"> seeks to exercise or protect, the record which they are seeking to access</w:t>
      </w:r>
      <w:r w:rsidR="00ED53C1">
        <w:t>,</w:t>
      </w:r>
      <w:r w:rsidR="003E3B7D">
        <w:t xml:space="preserve"> and an explanation as to how such record will assist them to exercise or protect their rights.</w:t>
      </w:r>
    </w:p>
    <w:p w14:paraId="6FF7D195" w14:textId="0A280940" w:rsidR="003E3B7D" w:rsidRDefault="00D04558" w:rsidP="009207A6">
      <w:pPr>
        <w:pStyle w:val="BodyLevel2"/>
      </w:pPr>
      <w:r>
        <w:t>AJM</w:t>
      </w:r>
      <w:r w:rsidR="003E3B7D">
        <w:t xml:space="preserve"> has </w:t>
      </w:r>
      <w:r w:rsidR="00D56E47">
        <w:t xml:space="preserve">30 (thirty) </w:t>
      </w:r>
      <w:r w:rsidR="005E6FED">
        <w:t xml:space="preserve">calendar </w:t>
      </w:r>
      <w:r w:rsidR="00D56E47">
        <w:t xml:space="preserve">days </w:t>
      </w:r>
      <w:r w:rsidR="003E3B7D">
        <w:t xml:space="preserve">within which to respond to any request received. Once a decision has been made, </w:t>
      </w:r>
      <w:r>
        <w:t>AJM</w:t>
      </w:r>
      <w:r w:rsidR="003E3B7D">
        <w:t xml:space="preserve">'s </w:t>
      </w:r>
      <w:r w:rsidR="00D56E47">
        <w:t>IO</w:t>
      </w:r>
      <w:r w:rsidR="003E3B7D">
        <w:t xml:space="preserve"> will inform a requester of </w:t>
      </w:r>
      <w:r w:rsidR="009405A9">
        <w:t xml:space="preserve">their decision whether to grant or refuse a request and </w:t>
      </w:r>
      <w:r w:rsidR="00E357AA">
        <w:t xml:space="preserve">any </w:t>
      </w:r>
      <w:r w:rsidR="009405A9">
        <w:t xml:space="preserve">fees payable on a form that corresponds substantially to that of Form 3 of the </w:t>
      </w:r>
      <w:r w:rsidR="0014014B">
        <w:t>Regulations</w:t>
      </w:r>
      <w:r w:rsidR="009405A9">
        <w:t xml:space="preserve">. </w:t>
      </w:r>
    </w:p>
    <w:p w14:paraId="1A062E92" w14:textId="25785F08" w:rsidR="009405A9" w:rsidRDefault="00D04558" w:rsidP="009207A6">
      <w:pPr>
        <w:pStyle w:val="BodyLevel2"/>
      </w:pPr>
      <w:r>
        <w:t>AJM</w:t>
      </w:r>
      <w:r w:rsidR="009405A9">
        <w:t xml:space="preserve"> may refuse a request for access to a record on any of the grounds listed in Chapter 4 of PAIA</w:t>
      </w:r>
      <w:r w:rsidR="007C1577">
        <w:t xml:space="preserve"> (which are listed in the PAIA Guide)</w:t>
      </w:r>
      <w:r w:rsidR="009405A9">
        <w:t xml:space="preserve">. </w:t>
      </w:r>
    </w:p>
    <w:p w14:paraId="12501CE8" w14:textId="705BD599" w:rsidR="009405A9" w:rsidRDefault="00015EAF" w:rsidP="009207A6">
      <w:pPr>
        <w:pStyle w:val="BodyLevel2"/>
      </w:pPr>
      <w:r>
        <w:t xml:space="preserve">A requestor is required to pay the request fee before a request will be processed. The request fee is listed in Annexure B to the </w:t>
      </w:r>
      <w:r w:rsidR="0014014B">
        <w:t>Regulations</w:t>
      </w:r>
      <w:r>
        <w:t xml:space="preserve">. The current request fee payable is </w:t>
      </w:r>
      <w:r w:rsidRPr="00196628">
        <w:rPr>
          <w:b/>
          <w:bCs/>
        </w:rPr>
        <w:t>R</w:t>
      </w:r>
      <w:r w:rsidR="00D56E47">
        <w:rPr>
          <w:b/>
          <w:bCs/>
        </w:rPr>
        <w:t>140</w:t>
      </w:r>
      <w:r w:rsidRPr="006758CA">
        <w:rPr>
          <w:b/>
          <w:bCs/>
        </w:rPr>
        <w:t xml:space="preserve"> (</w:t>
      </w:r>
      <w:r w:rsidR="00D56E47">
        <w:rPr>
          <w:b/>
          <w:bCs/>
        </w:rPr>
        <w:t xml:space="preserve">one hundred and forty </w:t>
      </w:r>
      <w:r w:rsidR="006758CA" w:rsidRPr="006758CA">
        <w:rPr>
          <w:b/>
          <w:bCs/>
        </w:rPr>
        <w:t>r</w:t>
      </w:r>
      <w:r w:rsidRPr="006758CA">
        <w:rPr>
          <w:b/>
          <w:bCs/>
        </w:rPr>
        <w:t>and)</w:t>
      </w:r>
      <w:r w:rsidRPr="00196628">
        <w:rPr>
          <w:b/>
          <w:bCs/>
        </w:rPr>
        <w:t xml:space="preserve"> per request</w:t>
      </w:r>
      <w:r>
        <w:t xml:space="preserve">. </w:t>
      </w:r>
    </w:p>
    <w:p w14:paraId="1AF77F39" w14:textId="2BCED0CF" w:rsidR="00015EAF" w:rsidRDefault="00015EAF" w:rsidP="009207A6">
      <w:pPr>
        <w:pStyle w:val="BodyLevel2"/>
      </w:pPr>
      <w:r>
        <w:t xml:space="preserve">The request fee must be paid into </w:t>
      </w:r>
      <w:r w:rsidR="00D04558">
        <w:t>AJM</w:t>
      </w:r>
      <w:r>
        <w:t xml:space="preserve">'s nominated bank account, which details are available from our </w:t>
      </w:r>
      <w:r w:rsidR="00D56E47">
        <w:t>IO</w:t>
      </w:r>
      <w:r>
        <w:t xml:space="preserve"> on request. </w:t>
      </w:r>
    </w:p>
    <w:p w14:paraId="3DC39838" w14:textId="03AC2525" w:rsidR="007F0648" w:rsidRDefault="007F0648" w:rsidP="009207A6">
      <w:pPr>
        <w:pStyle w:val="BodyLevel1"/>
      </w:pPr>
      <w:r>
        <w:t>REMEDIES</w:t>
      </w:r>
    </w:p>
    <w:p w14:paraId="7E19BCF4" w14:textId="3D2FDC2D" w:rsidR="007F0648" w:rsidRDefault="007C1577" w:rsidP="009207A6">
      <w:pPr>
        <w:pStyle w:val="BodyLevel2"/>
      </w:pPr>
      <w:r>
        <w:t xml:space="preserve">If a requestor is unhappy with a decision made by </w:t>
      </w:r>
      <w:r w:rsidR="00D04558">
        <w:t>AJM</w:t>
      </w:r>
      <w:r w:rsidR="00EF6E14">
        <w:t>,</w:t>
      </w:r>
      <w:r>
        <w:t xml:space="preserve"> they may submit a complaint to the Regulator. </w:t>
      </w:r>
    </w:p>
    <w:p w14:paraId="11F2F82E" w14:textId="1C14D817" w:rsidR="007C1577" w:rsidRDefault="007C1577" w:rsidP="009207A6">
      <w:pPr>
        <w:pStyle w:val="BodyLevel2"/>
      </w:pPr>
      <w:r>
        <w:t xml:space="preserve">A complaint to the Regulator must be made on a form which corresponds substantially to that of Form 5 of the </w:t>
      </w:r>
      <w:r w:rsidR="0014014B">
        <w:t>Regulations</w:t>
      </w:r>
      <w:r w:rsidR="0011042A">
        <w:t xml:space="preserve">, which is attached hereto as Annexure B. A complaint to the Regulator must be lodged within </w:t>
      </w:r>
      <w:r w:rsidR="00D56E47">
        <w:t xml:space="preserve">180 (one hundred and eighty) </w:t>
      </w:r>
      <w:r w:rsidR="00D84661">
        <w:t xml:space="preserve">calendar </w:t>
      </w:r>
      <w:r w:rsidR="00D56E47">
        <w:t xml:space="preserve">days </w:t>
      </w:r>
      <w:r w:rsidR="0011042A">
        <w:t xml:space="preserve">of receipt of the decision from </w:t>
      </w:r>
      <w:r w:rsidR="00D04558">
        <w:t>AJM</w:t>
      </w:r>
      <w:r w:rsidR="0011042A">
        <w:t>.</w:t>
      </w:r>
    </w:p>
    <w:p w14:paraId="7950EFFF" w14:textId="35ECFE56" w:rsidR="0011042A" w:rsidRDefault="0011042A" w:rsidP="009207A6">
      <w:pPr>
        <w:pStyle w:val="BodyLevel2"/>
      </w:pPr>
      <w:r>
        <w:t xml:space="preserve">The complaint will then follow the dispute resolution process described in the </w:t>
      </w:r>
      <w:r w:rsidR="0014014B">
        <w:t>Regulations</w:t>
      </w:r>
      <w:r>
        <w:t xml:space="preserve"> as well as the PAIA Guide. </w:t>
      </w:r>
    </w:p>
    <w:p w14:paraId="74AD0409" w14:textId="77777777" w:rsidR="00ED53C1" w:rsidRDefault="00ED53C1" w:rsidP="00ED53C1">
      <w:pPr>
        <w:pStyle w:val="BodyLevel1"/>
        <w:numPr>
          <w:ilvl w:val="0"/>
          <w:numId w:val="0"/>
        </w:numPr>
        <w:ind w:left="567"/>
      </w:pPr>
    </w:p>
    <w:p w14:paraId="625712EB" w14:textId="77777777" w:rsidR="00ED53C1" w:rsidRPr="00ED53C1" w:rsidRDefault="00ED53C1" w:rsidP="00ED53C1"/>
    <w:p w14:paraId="17166064" w14:textId="67C890A5" w:rsidR="00A64CF4" w:rsidRDefault="00A64CF4" w:rsidP="009207A6">
      <w:pPr>
        <w:pStyle w:val="BodyLevel1"/>
      </w:pPr>
      <w:r>
        <w:lastRenderedPageBreak/>
        <w:t>RECORDS AVAILABLE WITHOUT REQUEST</w:t>
      </w:r>
    </w:p>
    <w:p w14:paraId="3A24F3F7" w14:textId="133231AF" w:rsidR="0084763A" w:rsidRPr="0084763A" w:rsidRDefault="0084763A" w:rsidP="009207A6">
      <w:pPr>
        <w:pStyle w:val="BodyLevel2"/>
      </w:pPr>
      <w:r>
        <w:t xml:space="preserve">The following records are made freely available by </w:t>
      </w:r>
      <w:r w:rsidR="00D04558">
        <w:t>AJM</w:t>
      </w:r>
      <w:r>
        <w:t xml:space="preserve"> and do not require any request to access: </w:t>
      </w:r>
    </w:p>
    <w:tbl>
      <w:tblPr>
        <w:tblStyle w:val="TableGrid"/>
        <w:tblW w:w="83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297"/>
        <w:gridCol w:w="3799"/>
        <w:gridCol w:w="2296"/>
      </w:tblGrid>
      <w:tr w:rsidR="00730603" w:rsidRPr="00AC5C4C" w14:paraId="474A795F" w14:textId="77777777" w:rsidTr="0084763A">
        <w:tc>
          <w:tcPr>
            <w:tcW w:w="2297" w:type="dxa"/>
            <w:shd w:val="clear" w:color="auto" w:fill="A6A6A6" w:themeFill="background1" w:themeFillShade="A6"/>
          </w:tcPr>
          <w:p w14:paraId="3E76469E" w14:textId="77777777" w:rsidR="00730603" w:rsidRPr="00103367" w:rsidRDefault="00730603" w:rsidP="00920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103367">
              <w:rPr>
                <w:rFonts w:cs="Arial"/>
                <w:b/>
                <w:bCs/>
                <w:color w:val="000000"/>
                <w:szCs w:val="20"/>
              </w:rPr>
              <w:t>Category</w:t>
            </w:r>
            <w:r w:rsidRPr="00103367">
              <w:rPr>
                <w:rFonts w:cs="Arial"/>
                <w:b/>
                <w:bCs/>
                <w:szCs w:val="20"/>
              </w:rPr>
              <w:t xml:space="preserve"> </w:t>
            </w:r>
            <w:r w:rsidRPr="00103367">
              <w:rPr>
                <w:rFonts w:cs="Arial"/>
                <w:b/>
                <w:bCs/>
                <w:color w:val="000000"/>
                <w:szCs w:val="20"/>
              </w:rPr>
              <w:t>of records</w:t>
            </w:r>
          </w:p>
        </w:tc>
        <w:tc>
          <w:tcPr>
            <w:tcW w:w="3799" w:type="dxa"/>
            <w:shd w:val="clear" w:color="auto" w:fill="A6A6A6" w:themeFill="background1" w:themeFillShade="A6"/>
          </w:tcPr>
          <w:p w14:paraId="7C1D9DBD" w14:textId="77777777" w:rsidR="00730603" w:rsidRPr="00103367" w:rsidRDefault="00730603" w:rsidP="00920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103367">
              <w:rPr>
                <w:rFonts w:cs="Arial"/>
                <w:b/>
                <w:bCs/>
                <w:color w:val="000000"/>
                <w:szCs w:val="20"/>
              </w:rPr>
              <w:t xml:space="preserve">Types of the Record </w:t>
            </w:r>
          </w:p>
        </w:tc>
        <w:tc>
          <w:tcPr>
            <w:tcW w:w="2296" w:type="dxa"/>
            <w:shd w:val="clear" w:color="auto" w:fill="A6A6A6" w:themeFill="background1" w:themeFillShade="A6"/>
          </w:tcPr>
          <w:p w14:paraId="0F607535" w14:textId="051D817F" w:rsidR="00730603" w:rsidRPr="00103367" w:rsidRDefault="00730603" w:rsidP="009207A6">
            <w:pPr>
              <w:pStyle w:val="ListParagraph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Where Available </w:t>
            </w:r>
            <w:r w:rsidRPr="001033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30603" w:rsidRPr="00AC5C4C" w14:paraId="6DC4B303" w14:textId="77777777" w:rsidTr="00EF6E14">
        <w:tc>
          <w:tcPr>
            <w:tcW w:w="2297" w:type="dxa"/>
            <w:vAlign w:val="center"/>
          </w:tcPr>
          <w:p w14:paraId="755134B3" w14:textId="6F80502F" w:rsidR="00730603" w:rsidRPr="00AC5C4C" w:rsidRDefault="00D04558" w:rsidP="00EF6E1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AJM</w:t>
            </w:r>
            <w:r w:rsidR="00730603">
              <w:rPr>
                <w:rFonts w:cs="Arial"/>
                <w:szCs w:val="20"/>
              </w:rPr>
              <w:t xml:space="preserve"> Policies</w:t>
            </w:r>
          </w:p>
        </w:tc>
        <w:tc>
          <w:tcPr>
            <w:tcW w:w="3799" w:type="dxa"/>
            <w:vAlign w:val="center"/>
          </w:tcPr>
          <w:p w14:paraId="475F9DD4" w14:textId="417D9C8F" w:rsidR="00730603" w:rsidRPr="0084763A" w:rsidRDefault="00DF468A" w:rsidP="00EF6E1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Privacy </w:t>
            </w:r>
            <w:r w:rsidR="000B272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olicy</w:t>
            </w:r>
          </w:p>
        </w:tc>
        <w:tc>
          <w:tcPr>
            <w:tcW w:w="2296" w:type="dxa"/>
            <w:vAlign w:val="center"/>
          </w:tcPr>
          <w:p w14:paraId="3A36AFF3" w14:textId="4B5A6FE2" w:rsidR="00730603" w:rsidRPr="00AC5C4C" w:rsidRDefault="00730603" w:rsidP="00EF6E1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82E70">
              <w:rPr>
                <w:rFonts w:ascii="Arial" w:hAnsi="Arial" w:cs="Arial"/>
                <w:sz w:val="20"/>
                <w:szCs w:val="20"/>
              </w:rPr>
              <w:t>On Website</w:t>
            </w:r>
          </w:p>
        </w:tc>
      </w:tr>
    </w:tbl>
    <w:p w14:paraId="69A5D285" w14:textId="64DB6501" w:rsidR="00A64CF4" w:rsidRDefault="0084763A" w:rsidP="009207A6">
      <w:pPr>
        <w:pStyle w:val="BodyLevel1"/>
      </w:pPr>
      <w:r>
        <w:t>RECORDS AVAILABLE IN ACCORDANCE WITH OTHER LEGISLATION</w:t>
      </w:r>
    </w:p>
    <w:p w14:paraId="342FAF40" w14:textId="6FC3174D" w:rsidR="0084763A" w:rsidRDefault="0084763A" w:rsidP="009207A6">
      <w:pPr>
        <w:pStyle w:val="BodyLevel2"/>
      </w:pPr>
      <w:r>
        <w:t>The following records are freely available to the public in accordance with legislation</w:t>
      </w:r>
      <w:r w:rsidR="00ED53C1">
        <w:t>:</w:t>
      </w:r>
      <w:r>
        <w:t xml:space="preserve"> </w:t>
      </w:r>
    </w:p>
    <w:tbl>
      <w:tblPr>
        <w:tblStyle w:val="TableGrid"/>
        <w:tblW w:w="83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98"/>
        <w:gridCol w:w="4394"/>
      </w:tblGrid>
      <w:tr w:rsidR="0084763A" w:rsidRPr="00AC5C4C" w14:paraId="0A2EF55A" w14:textId="77777777" w:rsidTr="00E22F9D">
        <w:tc>
          <w:tcPr>
            <w:tcW w:w="3998" w:type="dxa"/>
            <w:shd w:val="clear" w:color="auto" w:fill="A6A6A6" w:themeFill="background1" w:themeFillShade="A6"/>
          </w:tcPr>
          <w:p w14:paraId="422E926C" w14:textId="77777777" w:rsidR="0084763A" w:rsidRPr="00AC5C4C" w:rsidRDefault="0084763A" w:rsidP="00920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  <w:r w:rsidRPr="00AC5C4C">
              <w:rPr>
                <w:rFonts w:cs="Arial"/>
                <w:b/>
                <w:bCs/>
                <w:color w:val="000000"/>
                <w:szCs w:val="20"/>
              </w:rPr>
              <w:t>Category</w:t>
            </w:r>
            <w:r w:rsidRPr="00AC5C4C">
              <w:rPr>
                <w:rFonts w:cs="Arial"/>
                <w:szCs w:val="20"/>
              </w:rPr>
              <w:t xml:space="preserve"> </w:t>
            </w:r>
            <w:r w:rsidRPr="00AC5C4C">
              <w:rPr>
                <w:rFonts w:cs="Arial"/>
                <w:b/>
                <w:bCs/>
                <w:color w:val="000000"/>
                <w:szCs w:val="20"/>
              </w:rPr>
              <w:t>of Records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4A967C64" w14:textId="300D2CE5" w:rsidR="0084763A" w:rsidRPr="0084763A" w:rsidRDefault="0084763A" w:rsidP="00920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  <w:r w:rsidRPr="00AC5C4C">
              <w:rPr>
                <w:rFonts w:cs="Arial"/>
                <w:b/>
                <w:bCs/>
                <w:color w:val="000000"/>
                <w:szCs w:val="20"/>
              </w:rPr>
              <w:t>Applicable Legislatio</w:t>
            </w:r>
            <w:r>
              <w:rPr>
                <w:rFonts w:cs="Arial"/>
                <w:b/>
                <w:bCs/>
                <w:color w:val="000000"/>
                <w:szCs w:val="20"/>
              </w:rPr>
              <w:t>n</w:t>
            </w:r>
          </w:p>
        </w:tc>
      </w:tr>
      <w:tr w:rsidR="0084763A" w:rsidRPr="00AC5C4C" w14:paraId="51519F44" w14:textId="77777777" w:rsidTr="00E22F9D">
        <w:tc>
          <w:tcPr>
            <w:tcW w:w="3998" w:type="dxa"/>
          </w:tcPr>
          <w:p w14:paraId="46873C2F" w14:textId="4E10FAA4" w:rsidR="0084763A" w:rsidRPr="00AC5C4C" w:rsidRDefault="00D04558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AJM</w:t>
            </w:r>
            <w:r w:rsidR="0084763A">
              <w:rPr>
                <w:rFonts w:cs="Arial"/>
                <w:szCs w:val="20"/>
              </w:rPr>
              <w:t xml:space="preserve"> </w:t>
            </w:r>
            <w:r w:rsidR="0084763A" w:rsidRPr="00AC5C4C">
              <w:rPr>
                <w:rFonts w:cs="Arial"/>
                <w:szCs w:val="20"/>
              </w:rPr>
              <w:t xml:space="preserve">Memorandum of </w:t>
            </w:r>
            <w:r w:rsidR="001968DA">
              <w:rPr>
                <w:rFonts w:cs="Arial"/>
                <w:szCs w:val="20"/>
              </w:rPr>
              <w:t>I</w:t>
            </w:r>
            <w:r w:rsidR="0084763A" w:rsidRPr="00AC5C4C">
              <w:rPr>
                <w:rFonts w:cs="Arial"/>
                <w:szCs w:val="20"/>
              </w:rPr>
              <w:t xml:space="preserve">ncorporation </w:t>
            </w:r>
          </w:p>
        </w:tc>
        <w:tc>
          <w:tcPr>
            <w:tcW w:w="4394" w:type="dxa"/>
          </w:tcPr>
          <w:p w14:paraId="638A7259" w14:textId="0A73EF75" w:rsidR="0084763A" w:rsidRPr="00AC5C4C" w:rsidRDefault="0084763A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C4C">
              <w:rPr>
                <w:rFonts w:ascii="Arial" w:hAnsi="Arial" w:cs="Arial"/>
                <w:sz w:val="20"/>
                <w:szCs w:val="20"/>
              </w:rPr>
              <w:t>Companies Act 71 of 2008</w:t>
            </w:r>
          </w:p>
        </w:tc>
      </w:tr>
      <w:tr w:rsidR="0084763A" w:rsidRPr="00AC5C4C" w14:paraId="2FC0EC40" w14:textId="77777777" w:rsidTr="00E22F9D">
        <w:tc>
          <w:tcPr>
            <w:tcW w:w="3998" w:type="dxa"/>
          </w:tcPr>
          <w:p w14:paraId="4357D2DD" w14:textId="627B9E81" w:rsidR="0084763A" w:rsidRPr="00AC5C4C" w:rsidRDefault="00D04558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AJM</w:t>
            </w:r>
            <w:r w:rsidR="0084763A">
              <w:rPr>
                <w:rFonts w:cs="Arial"/>
                <w:szCs w:val="20"/>
              </w:rPr>
              <w:t xml:space="preserve"> </w:t>
            </w:r>
            <w:r w:rsidR="0084763A" w:rsidRPr="00AC5C4C">
              <w:rPr>
                <w:rFonts w:cs="Arial"/>
                <w:szCs w:val="20"/>
              </w:rPr>
              <w:t>PAIA Manual</w:t>
            </w:r>
          </w:p>
        </w:tc>
        <w:tc>
          <w:tcPr>
            <w:tcW w:w="4394" w:type="dxa"/>
          </w:tcPr>
          <w:p w14:paraId="1B4135FD" w14:textId="77777777" w:rsidR="0084763A" w:rsidRPr="00AC5C4C" w:rsidRDefault="0084763A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C4C">
              <w:rPr>
                <w:rFonts w:ascii="Arial" w:hAnsi="Arial" w:cs="Arial"/>
                <w:sz w:val="20"/>
                <w:szCs w:val="20"/>
              </w:rPr>
              <w:t>Promotion of Access to Information Act 2 of 2000</w:t>
            </w:r>
          </w:p>
        </w:tc>
      </w:tr>
      <w:tr w:rsidR="00196628" w:rsidRPr="00AC5C4C" w14:paraId="75CD42FC" w14:textId="77777777" w:rsidTr="00E22F9D">
        <w:tc>
          <w:tcPr>
            <w:tcW w:w="3998" w:type="dxa"/>
          </w:tcPr>
          <w:p w14:paraId="14E216F1" w14:textId="66D2246C" w:rsidR="00196628" w:rsidRDefault="00D04558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AJM</w:t>
            </w:r>
            <w:r w:rsidR="00196628">
              <w:rPr>
                <w:rFonts w:cs="Arial"/>
                <w:szCs w:val="20"/>
              </w:rPr>
              <w:t xml:space="preserve"> Privacy Polic</w:t>
            </w:r>
            <w:r>
              <w:rPr>
                <w:rFonts w:cs="Arial"/>
                <w:szCs w:val="20"/>
              </w:rPr>
              <w:t>y</w:t>
            </w:r>
          </w:p>
        </w:tc>
        <w:tc>
          <w:tcPr>
            <w:tcW w:w="4394" w:type="dxa"/>
          </w:tcPr>
          <w:p w14:paraId="4096D745" w14:textId="03021313" w:rsidR="00196628" w:rsidRPr="00AC5C4C" w:rsidRDefault="00196628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6628">
              <w:rPr>
                <w:rFonts w:ascii="Arial" w:hAnsi="Arial" w:cs="Arial"/>
                <w:sz w:val="20"/>
                <w:szCs w:val="20"/>
              </w:rPr>
              <w:t>Protection of Personal Information Act 4 of 2013</w:t>
            </w:r>
          </w:p>
        </w:tc>
      </w:tr>
    </w:tbl>
    <w:p w14:paraId="4218798D" w14:textId="67C03396" w:rsidR="00A64CF4" w:rsidRDefault="00AF1054" w:rsidP="009207A6">
      <w:pPr>
        <w:pStyle w:val="BodyLevel1"/>
      </w:pPr>
      <w:r>
        <w:t xml:space="preserve">SUBJECTS AND CATEGORIES OF RECORDS HELD </w:t>
      </w:r>
    </w:p>
    <w:p w14:paraId="11D0C472" w14:textId="38569904" w:rsidR="00AF1054" w:rsidRDefault="00D04558" w:rsidP="009207A6">
      <w:pPr>
        <w:pStyle w:val="BodyLevel2"/>
      </w:pPr>
      <w:r>
        <w:t>AJM</w:t>
      </w:r>
      <w:r w:rsidR="00AF1054">
        <w:t xml:space="preserve"> holds records on the following subjects: </w:t>
      </w:r>
    </w:p>
    <w:tbl>
      <w:tblPr>
        <w:tblStyle w:val="TableGrid"/>
        <w:tblW w:w="83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402"/>
        <w:gridCol w:w="4990"/>
      </w:tblGrid>
      <w:tr w:rsidR="00AF1054" w:rsidRPr="00AC5C4C" w14:paraId="2A2DEA72" w14:textId="77777777" w:rsidTr="00E22F9D">
        <w:trPr>
          <w:trHeight w:val="347"/>
          <w:tblHeader/>
        </w:trPr>
        <w:tc>
          <w:tcPr>
            <w:tcW w:w="3402" w:type="dxa"/>
            <w:shd w:val="clear" w:color="auto" w:fill="A6A6A6" w:themeFill="background1" w:themeFillShade="A6"/>
          </w:tcPr>
          <w:p w14:paraId="6967FD07" w14:textId="51B4A471" w:rsidR="00AF1054" w:rsidRPr="00AC5C4C" w:rsidRDefault="00AF1054" w:rsidP="00920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AC5C4C">
              <w:rPr>
                <w:rFonts w:cs="Arial"/>
                <w:b/>
                <w:bCs/>
                <w:color w:val="000000"/>
                <w:szCs w:val="20"/>
              </w:rPr>
              <w:t>Subject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of Records</w:t>
            </w:r>
          </w:p>
        </w:tc>
        <w:tc>
          <w:tcPr>
            <w:tcW w:w="4990" w:type="dxa"/>
            <w:shd w:val="clear" w:color="auto" w:fill="A6A6A6" w:themeFill="background1" w:themeFillShade="A6"/>
          </w:tcPr>
          <w:p w14:paraId="4EABA6E1" w14:textId="3F7435B1" w:rsidR="00AF1054" w:rsidRPr="00AC5C4C" w:rsidRDefault="00AF1054" w:rsidP="00920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  <w:r w:rsidRPr="00AC5C4C">
              <w:rPr>
                <w:rFonts w:cs="Arial"/>
                <w:b/>
                <w:bCs/>
                <w:color w:val="000000"/>
                <w:szCs w:val="20"/>
              </w:rPr>
              <w:t xml:space="preserve">Categories of </w:t>
            </w:r>
            <w:r>
              <w:rPr>
                <w:rFonts w:cs="Arial"/>
                <w:b/>
                <w:bCs/>
                <w:color w:val="000000"/>
                <w:szCs w:val="20"/>
              </w:rPr>
              <w:t>R</w:t>
            </w:r>
            <w:r w:rsidRPr="00AC5C4C">
              <w:rPr>
                <w:rFonts w:cs="Arial"/>
                <w:b/>
                <w:bCs/>
                <w:color w:val="000000"/>
                <w:szCs w:val="20"/>
              </w:rPr>
              <w:t>ecords</w:t>
            </w:r>
          </w:p>
        </w:tc>
      </w:tr>
      <w:tr w:rsidR="00143AE7" w:rsidRPr="00AC5C4C" w14:paraId="3EEAE869" w14:textId="77777777" w:rsidTr="00E22F9D">
        <w:tc>
          <w:tcPr>
            <w:tcW w:w="3402" w:type="dxa"/>
          </w:tcPr>
          <w:p w14:paraId="69A421CF" w14:textId="060EC255" w:rsidR="00143AE7" w:rsidRPr="00AC5C4C" w:rsidRDefault="00143AE7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Secretarial</w:t>
            </w:r>
          </w:p>
        </w:tc>
        <w:tc>
          <w:tcPr>
            <w:tcW w:w="4990" w:type="dxa"/>
          </w:tcPr>
          <w:p w14:paraId="58B1FAAF" w14:textId="08850264" w:rsidR="00143AE7" w:rsidRPr="00AF1054" w:rsidRDefault="00143AE7" w:rsidP="009207A6">
            <w:pPr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Memorandum of Incorporation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share certificates, resolutions, director registrations, minutes of meetings, share register</w:t>
            </w:r>
          </w:p>
        </w:tc>
      </w:tr>
      <w:tr w:rsidR="00AF1054" w:rsidRPr="00AC5C4C" w14:paraId="233C408F" w14:textId="77777777" w:rsidTr="00E22F9D">
        <w:tc>
          <w:tcPr>
            <w:tcW w:w="3402" w:type="dxa"/>
          </w:tcPr>
          <w:p w14:paraId="62565F1A" w14:textId="77777777" w:rsidR="00AF1054" w:rsidRPr="00AC5C4C" w:rsidRDefault="00AF1054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C4C"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4990" w:type="dxa"/>
          </w:tcPr>
          <w:p w14:paraId="7CDF7299" w14:textId="628545EA" w:rsidR="00AF1054" w:rsidRPr="00AF1054" w:rsidRDefault="00AF1054" w:rsidP="009207A6">
            <w:pPr>
              <w:spacing w:after="0"/>
              <w:jc w:val="both"/>
              <w:rPr>
                <w:rFonts w:cs="Arial"/>
                <w:szCs w:val="20"/>
              </w:rPr>
            </w:pPr>
            <w:r w:rsidRPr="00AF1054">
              <w:rPr>
                <w:rFonts w:cs="Arial"/>
                <w:szCs w:val="20"/>
              </w:rPr>
              <w:t>HR policies and procedures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1968DA">
              <w:rPr>
                <w:rFonts w:cs="Arial"/>
                <w:szCs w:val="20"/>
              </w:rPr>
              <w:t>available employment opportunities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F6076E">
              <w:rPr>
                <w:rFonts w:cs="Arial"/>
                <w:szCs w:val="20"/>
              </w:rPr>
              <w:t>e</w:t>
            </w:r>
            <w:r w:rsidRPr="00AF1054">
              <w:rPr>
                <w:rFonts w:cs="Arial"/>
                <w:szCs w:val="20"/>
              </w:rPr>
              <w:t>mployee records</w:t>
            </w:r>
          </w:p>
        </w:tc>
      </w:tr>
      <w:tr w:rsidR="00AF1054" w:rsidRPr="00AC5C4C" w14:paraId="6178458F" w14:textId="77777777" w:rsidTr="00E22F9D">
        <w:tc>
          <w:tcPr>
            <w:tcW w:w="3402" w:type="dxa"/>
          </w:tcPr>
          <w:p w14:paraId="598573DB" w14:textId="77777777" w:rsidR="00AF1054" w:rsidRPr="00AC5C4C" w:rsidRDefault="00AF1054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Finance </w:t>
            </w:r>
          </w:p>
        </w:tc>
        <w:tc>
          <w:tcPr>
            <w:tcW w:w="4990" w:type="dxa"/>
          </w:tcPr>
          <w:p w14:paraId="6FBA8474" w14:textId="533B961D" w:rsidR="00AF1054" w:rsidRPr="00AF1054" w:rsidRDefault="00031E61" w:rsidP="009207A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Banking</w:t>
            </w:r>
            <w:r w:rsidR="00D254C3">
              <w:rPr>
                <w:rFonts w:cs="Arial"/>
                <w:szCs w:val="20"/>
              </w:rPr>
              <w:t>/bank account</w:t>
            </w:r>
            <w:r>
              <w:rPr>
                <w:rFonts w:cs="Arial"/>
                <w:szCs w:val="20"/>
              </w:rPr>
              <w:t xml:space="preserve"> </w:t>
            </w:r>
            <w:r w:rsidR="00D254C3">
              <w:rPr>
                <w:rFonts w:cs="Arial"/>
                <w:szCs w:val="20"/>
              </w:rPr>
              <w:t>records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F6076E">
              <w:rPr>
                <w:rFonts w:cs="Arial"/>
                <w:szCs w:val="20"/>
              </w:rPr>
              <w:t>c</w:t>
            </w:r>
            <w:r w:rsidR="001968DA">
              <w:rPr>
                <w:rFonts w:cs="Arial"/>
                <w:szCs w:val="20"/>
              </w:rPr>
              <w:t xml:space="preserve">ontractual </w:t>
            </w:r>
            <w:r w:rsidR="00F6076E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greements</w:t>
            </w:r>
            <w:r w:rsidR="00143AE7">
              <w:rPr>
                <w:rFonts w:cs="Arial"/>
                <w:szCs w:val="20"/>
              </w:rPr>
              <w:t>, accounting records, financial statements and reports, invoices</w:t>
            </w:r>
          </w:p>
        </w:tc>
      </w:tr>
      <w:tr w:rsidR="00AF1054" w:rsidRPr="00AC5C4C" w14:paraId="1703E7CB" w14:textId="77777777" w:rsidTr="00E22F9D">
        <w:tc>
          <w:tcPr>
            <w:tcW w:w="3402" w:type="dxa"/>
          </w:tcPr>
          <w:p w14:paraId="5E115CAF" w14:textId="77777777" w:rsidR="00AF1054" w:rsidRDefault="00AF1054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Insurance </w:t>
            </w:r>
          </w:p>
        </w:tc>
        <w:tc>
          <w:tcPr>
            <w:tcW w:w="4990" w:type="dxa"/>
          </w:tcPr>
          <w:p w14:paraId="5B1D8854" w14:textId="3A451AFD" w:rsidR="00AF1054" w:rsidRPr="00AF1054" w:rsidRDefault="00F6076E" w:rsidP="009207A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Insurance p</w:t>
            </w:r>
            <w:r w:rsidR="00031E61">
              <w:rPr>
                <w:rFonts w:cs="Arial"/>
                <w:szCs w:val="20"/>
              </w:rPr>
              <w:t xml:space="preserve">olicy </w:t>
            </w:r>
            <w:r w:rsidR="001968DA">
              <w:rPr>
                <w:rFonts w:cs="Arial"/>
                <w:szCs w:val="20"/>
              </w:rPr>
              <w:t>d</w:t>
            </w:r>
            <w:r w:rsidR="00031E61">
              <w:rPr>
                <w:rFonts w:cs="Arial"/>
                <w:szCs w:val="20"/>
              </w:rPr>
              <w:t>ocuments</w:t>
            </w:r>
          </w:p>
        </w:tc>
      </w:tr>
      <w:tr w:rsidR="00984164" w:rsidRPr="00AC5C4C" w14:paraId="05A44C09" w14:textId="77777777" w:rsidTr="00E22F9D">
        <w:tc>
          <w:tcPr>
            <w:tcW w:w="3402" w:type="dxa"/>
          </w:tcPr>
          <w:p w14:paraId="347935DD" w14:textId="481B04DE" w:rsidR="00984164" w:rsidRDefault="00984164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Intellectual Property</w:t>
            </w:r>
          </w:p>
        </w:tc>
        <w:tc>
          <w:tcPr>
            <w:tcW w:w="4990" w:type="dxa"/>
          </w:tcPr>
          <w:p w14:paraId="29142A37" w14:textId="407AF6F8" w:rsidR="00984164" w:rsidRDefault="00984164" w:rsidP="009207A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984164">
              <w:rPr>
                <w:rFonts w:cs="Arial"/>
                <w:szCs w:val="20"/>
              </w:rPr>
              <w:t xml:space="preserve">Trademarks, </w:t>
            </w:r>
            <w:r>
              <w:rPr>
                <w:rFonts w:cs="Arial"/>
                <w:szCs w:val="20"/>
              </w:rPr>
              <w:t xml:space="preserve">copyright, </w:t>
            </w:r>
            <w:r w:rsidRPr="00984164">
              <w:rPr>
                <w:rFonts w:cs="Arial"/>
                <w:szCs w:val="20"/>
              </w:rPr>
              <w:t>knowhow</w:t>
            </w:r>
            <w:r w:rsidR="00E357AA">
              <w:rPr>
                <w:rFonts w:cs="Arial"/>
                <w:szCs w:val="20"/>
              </w:rPr>
              <w:t>,</w:t>
            </w:r>
            <w:r w:rsidRPr="00984164">
              <w:rPr>
                <w:rFonts w:cs="Arial"/>
                <w:szCs w:val="20"/>
              </w:rPr>
              <w:t xml:space="preserve"> and </w:t>
            </w:r>
            <w:r w:rsidR="00143AE7">
              <w:rPr>
                <w:rFonts w:cs="Arial"/>
                <w:szCs w:val="20"/>
              </w:rPr>
              <w:t xml:space="preserve">contractual </w:t>
            </w:r>
            <w:r w:rsidRPr="00984164">
              <w:rPr>
                <w:rFonts w:cs="Arial"/>
                <w:szCs w:val="20"/>
              </w:rPr>
              <w:t>agreements</w:t>
            </w:r>
            <w:r w:rsidR="00ED53C1">
              <w:rPr>
                <w:rFonts w:cs="Arial"/>
                <w:szCs w:val="20"/>
              </w:rPr>
              <w:t>,</w:t>
            </w:r>
            <w:r w:rsidR="004A2F8D">
              <w:rPr>
                <w:rFonts w:cs="Arial"/>
                <w:szCs w:val="20"/>
              </w:rPr>
              <w:t xml:space="preserve"> original designs </w:t>
            </w:r>
          </w:p>
        </w:tc>
      </w:tr>
      <w:tr w:rsidR="00AF1054" w:rsidRPr="00AC5C4C" w14:paraId="08B11727" w14:textId="77777777" w:rsidTr="00E22F9D">
        <w:tc>
          <w:tcPr>
            <w:tcW w:w="3402" w:type="dxa"/>
          </w:tcPr>
          <w:p w14:paraId="0BE01218" w14:textId="77777777" w:rsidR="00AF1054" w:rsidRDefault="00AF1054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</w:t>
            </w:r>
          </w:p>
        </w:tc>
        <w:tc>
          <w:tcPr>
            <w:tcW w:w="4990" w:type="dxa"/>
          </w:tcPr>
          <w:p w14:paraId="2E22D0CD" w14:textId="4E428552" w:rsidR="00AF1054" w:rsidRPr="00AF1054" w:rsidRDefault="00F6076E" w:rsidP="009207A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Income tax </w:t>
            </w:r>
            <w:r w:rsidR="00D254C3">
              <w:rPr>
                <w:rFonts w:cs="Arial"/>
                <w:szCs w:val="20"/>
              </w:rPr>
              <w:t>records, contractual agreements</w:t>
            </w:r>
          </w:p>
        </w:tc>
      </w:tr>
      <w:tr w:rsidR="00AF1054" w:rsidRPr="00AC5C4C" w14:paraId="00F6B8F4" w14:textId="77777777" w:rsidTr="00E22F9D">
        <w:tc>
          <w:tcPr>
            <w:tcW w:w="3402" w:type="dxa"/>
          </w:tcPr>
          <w:p w14:paraId="0CD1DC02" w14:textId="77777777" w:rsidR="00AF1054" w:rsidRDefault="00AF1054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Commercial Agreements</w:t>
            </w:r>
          </w:p>
        </w:tc>
        <w:tc>
          <w:tcPr>
            <w:tcW w:w="4990" w:type="dxa"/>
          </w:tcPr>
          <w:p w14:paraId="69F1EBFA" w14:textId="594A92C4" w:rsidR="00AF1054" w:rsidRPr="00AF1054" w:rsidRDefault="00031E61" w:rsidP="009207A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Service </w:t>
            </w:r>
            <w:r w:rsidR="00D254C3">
              <w:rPr>
                <w:rFonts w:cs="Arial"/>
                <w:szCs w:val="20"/>
              </w:rPr>
              <w:t>l</w:t>
            </w:r>
            <w:r>
              <w:rPr>
                <w:rFonts w:cs="Arial"/>
                <w:szCs w:val="20"/>
              </w:rPr>
              <w:t xml:space="preserve">evel </w:t>
            </w:r>
            <w:r w:rsidR="00D254C3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greements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="004A2F8D">
              <w:rPr>
                <w:rFonts w:cs="Arial"/>
                <w:szCs w:val="20"/>
              </w:rPr>
              <w:t>employee</w:t>
            </w:r>
            <w:r>
              <w:rPr>
                <w:rFonts w:cs="Arial"/>
                <w:szCs w:val="20"/>
              </w:rPr>
              <w:t xml:space="preserve"> </w:t>
            </w:r>
            <w:r w:rsidR="00D254C3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 xml:space="preserve">greements, </w:t>
            </w:r>
            <w:r w:rsidR="00D254C3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 xml:space="preserve">ontractor </w:t>
            </w:r>
            <w:r w:rsidR="00D254C3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greements</w:t>
            </w:r>
          </w:p>
        </w:tc>
      </w:tr>
      <w:tr w:rsidR="00143AE7" w:rsidRPr="00AC5C4C" w14:paraId="5A3D8438" w14:textId="77777777" w:rsidTr="00E22F9D">
        <w:tc>
          <w:tcPr>
            <w:tcW w:w="3402" w:type="dxa"/>
          </w:tcPr>
          <w:p w14:paraId="4B02C104" w14:textId="16561CF7" w:rsidR="00143AE7" w:rsidRDefault="00143AE7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Property</w:t>
            </w:r>
          </w:p>
        </w:tc>
        <w:tc>
          <w:tcPr>
            <w:tcW w:w="4990" w:type="dxa"/>
          </w:tcPr>
          <w:p w14:paraId="43B38D38" w14:textId="11672C21" w:rsidR="00143AE7" w:rsidRPr="00AF1054" w:rsidRDefault="00143AE7" w:rsidP="009207A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Lease agreements</w:t>
            </w:r>
          </w:p>
        </w:tc>
      </w:tr>
      <w:tr w:rsidR="00143AE7" w:rsidRPr="00AC5C4C" w14:paraId="52CFB06A" w14:textId="77777777" w:rsidTr="00E22F9D">
        <w:tc>
          <w:tcPr>
            <w:tcW w:w="3402" w:type="dxa"/>
          </w:tcPr>
          <w:p w14:paraId="145DA22D" w14:textId="718B7B03" w:rsidR="00143AE7" w:rsidRDefault="00143AE7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4990" w:type="dxa"/>
          </w:tcPr>
          <w:p w14:paraId="67235DBB" w14:textId="5CED0398" w:rsidR="00143AE7" w:rsidRDefault="00143AE7" w:rsidP="009207A6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Software licenses, </w:t>
            </w:r>
            <w:r w:rsidR="00534314">
              <w:rPr>
                <w:rFonts w:cs="Arial"/>
                <w:szCs w:val="20"/>
              </w:rPr>
              <w:t>data protection measures, data retention formulae, breach recovery processes</w:t>
            </w:r>
          </w:p>
        </w:tc>
      </w:tr>
    </w:tbl>
    <w:p w14:paraId="604586D4" w14:textId="77777777" w:rsidR="00ED53C1" w:rsidRDefault="00ED53C1" w:rsidP="00ED53C1">
      <w:pPr>
        <w:pStyle w:val="BodyLevel1"/>
        <w:numPr>
          <w:ilvl w:val="0"/>
          <w:numId w:val="0"/>
        </w:numPr>
        <w:ind w:left="567"/>
      </w:pPr>
    </w:p>
    <w:p w14:paraId="78CA4CF0" w14:textId="77777777" w:rsidR="00ED53C1" w:rsidRDefault="00ED53C1" w:rsidP="00ED53C1"/>
    <w:p w14:paraId="22D513DB" w14:textId="77777777" w:rsidR="00ED53C1" w:rsidRDefault="00ED53C1" w:rsidP="00ED53C1"/>
    <w:p w14:paraId="15E41630" w14:textId="77777777" w:rsidR="00ED53C1" w:rsidRPr="00ED53C1" w:rsidRDefault="00ED53C1" w:rsidP="00ED53C1"/>
    <w:p w14:paraId="59E98AAE" w14:textId="7CC3028B" w:rsidR="00AF1054" w:rsidRDefault="00031E61" w:rsidP="009207A6">
      <w:pPr>
        <w:pStyle w:val="BodyLevel1"/>
      </w:pPr>
      <w:r>
        <w:lastRenderedPageBreak/>
        <w:t>PROCESSING OF PERSONAL INFORMATION</w:t>
      </w:r>
    </w:p>
    <w:p w14:paraId="402B4149" w14:textId="66349101" w:rsidR="00031E61" w:rsidRPr="00D94EDA" w:rsidRDefault="00FC143D" w:rsidP="009207A6">
      <w:pPr>
        <w:pStyle w:val="BodyLevel2"/>
        <w:rPr>
          <w:b/>
          <w:bCs/>
        </w:rPr>
      </w:pPr>
      <w:r w:rsidRPr="00D94EDA">
        <w:rPr>
          <w:b/>
          <w:bCs/>
        </w:rPr>
        <w:t xml:space="preserve">Purpose of Processing </w:t>
      </w:r>
    </w:p>
    <w:p w14:paraId="761ECDD4" w14:textId="1CED42D2" w:rsidR="0094350E" w:rsidRDefault="00D04558" w:rsidP="009207A6">
      <w:pPr>
        <w:pStyle w:val="BodyLevel3"/>
      </w:pPr>
      <w:r>
        <w:t>AJM</w:t>
      </w:r>
      <w:r w:rsidR="00881098">
        <w:t xml:space="preserve"> processes personal information </w:t>
      </w:r>
      <w:r w:rsidR="00D254C3">
        <w:t xml:space="preserve">for </w:t>
      </w:r>
      <w:r w:rsidR="00881098">
        <w:t xml:space="preserve">legitimate business purposes </w:t>
      </w:r>
      <w:r w:rsidR="00881098">
        <w:rPr>
          <w:rFonts w:eastAsia="Arial"/>
          <w:szCs w:val="20"/>
        </w:rPr>
        <w:t xml:space="preserve">and as a necessary function of a client's engagement with </w:t>
      </w:r>
      <w:r>
        <w:rPr>
          <w:rFonts w:eastAsia="Arial"/>
          <w:szCs w:val="20"/>
        </w:rPr>
        <w:t>AJM</w:t>
      </w:r>
      <w:r w:rsidR="00881098">
        <w:rPr>
          <w:rFonts w:eastAsia="Arial"/>
          <w:szCs w:val="20"/>
        </w:rPr>
        <w:t>'s services</w:t>
      </w:r>
      <w:r w:rsidR="00ED53C1">
        <w:rPr>
          <w:rFonts w:eastAsia="Arial"/>
          <w:szCs w:val="20"/>
        </w:rPr>
        <w:t>,</w:t>
      </w:r>
      <w:r w:rsidR="0094350E">
        <w:rPr>
          <w:rFonts w:eastAsia="Arial"/>
          <w:szCs w:val="20"/>
        </w:rPr>
        <w:t xml:space="preserve"> with such client's express consent</w:t>
      </w:r>
      <w:r w:rsidR="00FC143D">
        <w:t>.</w:t>
      </w:r>
      <w:r w:rsidR="0094350E">
        <w:t xml:space="preserve"> </w:t>
      </w:r>
      <w:r>
        <w:t>AJM</w:t>
      </w:r>
      <w:r w:rsidR="0094350E">
        <w:t xml:space="preserve"> </w:t>
      </w:r>
      <w:r w:rsidR="00707106">
        <w:t xml:space="preserve">therefore </w:t>
      </w:r>
      <w:r w:rsidR="0094350E">
        <w:t xml:space="preserve">processes personal information in the following circumstances: </w:t>
      </w:r>
    </w:p>
    <w:p w14:paraId="18E88D69" w14:textId="2D2BFFED" w:rsidR="0094350E" w:rsidRDefault="0094350E" w:rsidP="009207A6">
      <w:pPr>
        <w:pStyle w:val="BodyLevel4"/>
      </w:pPr>
      <w:r>
        <w:t xml:space="preserve">to provide </w:t>
      </w:r>
      <w:r w:rsidR="0066325E">
        <w:t xml:space="preserve">our </w:t>
      </w:r>
      <w:r>
        <w:t>services to a client;</w:t>
      </w:r>
    </w:p>
    <w:p w14:paraId="1DC27786" w14:textId="53880271" w:rsidR="0094350E" w:rsidRDefault="0094350E" w:rsidP="009207A6">
      <w:pPr>
        <w:pStyle w:val="BodyLevel4"/>
      </w:pPr>
      <w:r>
        <w:t>for internal record keeping</w:t>
      </w:r>
      <w:r w:rsidR="00531D3C">
        <w:t>;</w:t>
      </w:r>
    </w:p>
    <w:p w14:paraId="0E524EE5" w14:textId="1EEF4010" w:rsidR="0094350E" w:rsidRDefault="0094350E" w:rsidP="009207A6">
      <w:pPr>
        <w:pStyle w:val="BodyLevel4"/>
      </w:pPr>
      <w:r>
        <w:t xml:space="preserve">to contact a client regarding current or new </w:t>
      </w:r>
      <w:r w:rsidR="00D04558">
        <w:t>AJM</w:t>
      </w:r>
      <w:r>
        <w:t xml:space="preserve"> services or any other product offered by us; </w:t>
      </w:r>
    </w:p>
    <w:p w14:paraId="06A952BB" w14:textId="3C2CB7F1" w:rsidR="0094350E" w:rsidRDefault="0094350E" w:rsidP="009207A6">
      <w:pPr>
        <w:pStyle w:val="BodyLevel4"/>
      </w:pPr>
      <w:r>
        <w:t>to inform clients of any new features</w:t>
      </w:r>
      <w:r w:rsidR="00ED53C1">
        <w:t xml:space="preserve"> and</w:t>
      </w:r>
      <w:r>
        <w:t xml:space="preserve"> special offers</w:t>
      </w:r>
      <w:r w:rsidR="00984A6D">
        <w:t xml:space="preserve"> </w:t>
      </w:r>
      <w:r>
        <w:t xml:space="preserve">offered by </w:t>
      </w:r>
      <w:r w:rsidR="00D04558">
        <w:t>AJM</w:t>
      </w:r>
      <w:r w:rsidR="00ED53C1">
        <w:t>,</w:t>
      </w:r>
      <w:r>
        <w:t xml:space="preserve"> or any of our divisions and/or partners; </w:t>
      </w:r>
    </w:p>
    <w:p w14:paraId="28D77181" w14:textId="4EF60CE6" w:rsidR="0094350E" w:rsidRDefault="0094350E" w:rsidP="009207A6">
      <w:pPr>
        <w:pStyle w:val="BodyLevel4"/>
      </w:pPr>
      <w:r>
        <w:t>to receive and accept services from independent contractors;</w:t>
      </w:r>
    </w:p>
    <w:p w14:paraId="27A96373" w14:textId="69F6E812" w:rsidR="0094350E" w:rsidRDefault="0094350E" w:rsidP="009207A6">
      <w:pPr>
        <w:pStyle w:val="BodyLevel4"/>
      </w:pPr>
      <w:r>
        <w:t xml:space="preserve">to allow client's to participate in any online engagement </w:t>
      </w:r>
      <w:r w:rsidR="00E0786F">
        <w:t>through the</w:t>
      </w:r>
      <w:r>
        <w:t xml:space="preserve"> </w:t>
      </w:r>
      <w:r w:rsidR="00D04558">
        <w:t>AJM</w:t>
      </w:r>
      <w:r w:rsidR="00E0786F">
        <w:t xml:space="preserve"> platforms</w:t>
      </w:r>
      <w:r>
        <w:t>;</w:t>
      </w:r>
    </w:p>
    <w:p w14:paraId="2858F457" w14:textId="5CAE55A2" w:rsidR="0094350E" w:rsidRDefault="0094350E" w:rsidP="009207A6">
      <w:pPr>
        <w:pStyle w:val="BodyLevel4"/>
      </w:pPr>
      <w:r>
        <w:t xml:space="preserve">to provide </w:t>
      </w:r>
      <w:r w:rsidR="00ED53C1">
        <w:t>information</w:t>
      </w:r>
      <w:r>
        <w:t xml:space="preserve"> to authorised third party service providers who need </w:t>
      </w:r>
      <w:r w:rsidR="00707106">
        <w:t>personal information</w:t>
      </w:r>
      <w:r>
        <w:t xml:space="preserve"> to provide </w:t>
      </w:r>
      <w:r w:rsidR="00707106">
        <w:t>services to</w:t>
      </w:r>
      <w:r>
        <w:t xml:space="preserve"> </w:t>
      </w:r>
      <w:r w:rsidR="00D04558">
        <w:t>AJM</w:t>
      </w:r>
      <w:r>
        <w:t>;</w:t>
      </w:r>
    </w:p>
    <w:p w14:paraId="77A284F8" w14:textId="1A793C65" w:rsidR="0094350E" w:rsidRDefault="0094350E" w:rsidP="009207A6">
      <w:pPr>
        <w:pStyle w:val="BodyLevel4"/>
      </w:pPr>
      <w:r>
        <w:t>to provide i</w:t>
      </w:r>
      <w:r w:rsidR="00ED53C1">
        <w:t>nformation</w:t>
      </w:r>
      <w:r>
        <w:t xml:space="preserve"> to mandated government authorities when instructed to do so for legal compliance only (such as the Income Tax Act, FICA);</w:t>
      </w:r>
    </w:p>
    <w:p w14:paraId="09ABCC00" w14:textId="6453EAA0" w:rsidR="00FC143D" w:rsidRDefault="0094350E" w:rsidP="009207A6">
      <w:pPr>
        <w:pStyle w:val="BodyLevel4"/>
      </w:pPr>
      <w:r>
        <w:t xml:space="preserve">to improve </w:t>
      </w:r>
      <w:r w:rsidR="00D04558">
        <w:t>AJM</w:t>
      </w:r>
      <w:r w:rsidR="00707106">
        <w:t xml:space="preserve">'s </w:t>
      </w:r>
      <w:r>
        <w:t xml:space="preserve">product selection and </w:t>
      </w:r>
      <w:r w:rsidR="00707106">
        <w:t xml:space="preserve">user </w:t>
      </w:r>
      <w:r>
        <w:t>experience</w:t>
      </w:r>
      <w:r w:rsidR="00707106">
        <w:t>s</w:t>
      </w:r>
      <w:r>
        <w:t xml:space="preserve"> </w:t>
      </w:r>
      <w:r w:rsidR="00707106">
        <w:t>through analytical data.</w:t>
      </w:r>
    </w:p>
    <w:p w14:paraId="1311B128" w14:textId="47504EC4" w:rsidR="00FC143D" w:rsidRPr="00D94EDA" w:rsidRDefault="00FC143D" w:rsidP="009207A6">
      <w:pPr>
        <w:pStyle w:val="BodyLevel2"/>
        <w:rPr>
          <w:b/>
          <w:bCs/>
        </w:rPr>
      </w:pPr>
      <w:r w:rsidRPr="00D94EDA">
        <w:rPr>
          <w:b/>
          <w:bCs/>
        </w:rPr>
        <w:t>Data Subjects and Information Processed</w:t>
      </w:r>
    </w:p>
    <w:p w14:paraId="6EEA823A" w14:textId="75D061E8" w:rsidR="00FC143D" w:rsidRDefault="00FC143D" w:rsidP="009207A6">
      <w:pPr>
        <w:pStyle w:val="Body"/>
        <w:ind w:left="1418"/>
      </w:pPr>
      <w:r>
        <w:t xml:space="preserve">As a responsible party, </w:t>
      </w:r>
      <w:r w:rsidR="00D04558">
        <w:t>AJM</w:t>
      </w:r>
      <w:r>
        <w:t xml:space="preserve"> processes the following information from the following list of data subjects</w:t>
      </w:r>
      <w:r w:rsidR="00ED53C1">
        <w:t>:</w:t>
      </w:r>
      <w:r>
        <w:t xml:space="preserve"> </w:t>
      </w:r>
    </w:p>
    <w:tbl>
      <w:tblPr>
        <w:tblStyle w:val="TableGrid"/>
        <w:tblW w:w="8647" w:type="dxa"/>
        <w:tblInd w:w="704" w:type="dxa"/>
        <w:tblLook w:val="04A0" w:firstRow="1" w:lastRow="0" w:firstColumn="1" w:lastColumn="0" w:noHBand="0" w:noVBand="1"/>
      </w:tblPr>
      <w:tblGrid>
        <w:gridCol w:w="3260"/>
        <w:gridCol w:w="5387"/>
      </w:tblGrid>
      <w:tr w:rsidR="00FC143D" w:rsidRPr="00AC5C4C" w14:paraId="1AF52DAC" w14:textId="77777777" w:rsidTr="00FC143D">
        <w:trPr>
          <w:tblHeader/>
        </w:trPr>
        <w:tc>
          <w:tcPr>
            <w:tcW w:w="3260" w:type="dxa"/>
            <w:shd w:val="clear" w:color="auto" w:fill="A6A6A6" w:themeFill="background1" w:themeFillShade="A6"/>
          </w:tcPr>
          <w:p w14:paraId="3A1EADC5" w14:textId="63728AFA" w:rsidR="00FC143D" w:rsidRPr="00AC5C4C" w:rsidRDefault="00FC143D" w:rsidP="009207A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5C4C">
              <w:rPr>
                <w:rFonts w:ascii="Arial" w:hAnsi="Arial" w:cs="Arial"/>
                <w:b/>
                <w:sz w:val="20"/>
                <w:szCs w:val="20"/>
              </w:rPr>
              <w:t>Data Subjects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14:paraId="1DE2A589" w14:textId="77777777" w:rsidR="00FC143D" w:rsidRPr="00AC5C4C" w:rsidRDefault="00FC143D" w:rsidP="009207A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5C4C">
              <w:rPr>
                <w:rFonts w:ascii="Arial" w:hAnsi="Arial" w:cs="Arial"/>
                <w:b/>
                <w:sz w:val="20"/>
                <w:szCs w:val="20"/>
              </w:rPr>
              <w:t>Personal Information that may be processed</w:t>
            </w:r>
          </w:p>
        </w:tc>
      </w:tr>
      <w:tr w:rsidR="00FC143D" w:rsidRPr="00AC5C4C" w14:paraId="43433739" w14:textId="77777777" w:rsidTr="00FC143D">
        <w:tc>
          <w:tcPr>
            <w:tcW w:w="3260" w:type="dxa"/>
            <w:vAlign w:val="center"/>
          </w:tcPr>
          <w:p w14:paraId="4AE5DC1A" w14:textId="0E879078" w:rsidR="00FC143D" w:rsidRPr="00AC5C4C" w:rsidRDefault="000B272D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Clients </w:t>
            </w:r>
          </w:p>
        </w:tc>
        <w:tc>
          <w:tcPr>
            <w:tcW w:w="5387" w:type="dxa"/>
          </w:tcPr>
          <w:p w14:paraId="5040066C" w14:textId="17BE827D" w:rsidR="00FC143D" w:rsidRPr="00AC5C4C" w:rsidRDefault="001968DA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Information from on-boarding which </w:t>
            </w:r>
            <w:r w:rsidR="0066325E">
              <w:rPr>
                <w:rFonts w:cs="Arial"/>
                <w:szCs w:val="20"/>
              </w:rPr>
              <w:t>includes</w:t>
            </w:r>
            <w:r>
              <w:rPr>
                <w:rFonts w:cs="Arial"/>
                <w:szCs w:val="20"/>
              </w:rPr>
              <w:t xml:space="preserve"> personal information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contact details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bank account information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identity documentation</w:t>
            </w:r>
            <w:r w:rsidR="00ED53C1">
              <w:rPr>
                <w:rFonts w:cs="Arial"/>
                <w:szCs w:val="20"/>
              </w:rPr>
              <w:t>,</w:t>
            </w:r>
            <w:r w:rsidR="0060526F">
              <w:rPr>
                <w:rFonts w:cs="Arial"/>
                <w:szCs w:val="20"/>
              </w:rPr>
              <w:t xml:space="preserve"> </w:t>
            </w:r>
            <w:r w:rsidR="00ED53C1">
              <w:rPr>
                <w:rFonts w:cs="Arial"/>
                <w:szCs w:val="20"/>
              </w:rPr>
              <w:t>address,</w:t>
            </w:r>
            <w:r w:rsidR="006E1F5A">
              <w:rPr>
                <w:rFonts w:cs="Arial"/>
                <w:szCs w:val="20"/>
              </w:rPr>
              <w:t xml:space="preserve"> and company information.</w:t>
            </w:r>
          </w:p>
        </w:tc>
      </w:tr>
      <w:tr w:rsidR="00FC143D" w:rsidRPr="00AC5C4C" w14:paraId="355852B4" w14:textId="77777777" w:rsidTr="00FC143D">
        <w:tc>
          <w:tcPr>
            <w:tcW w:w="3260" w:type="dxa"/>
            <w:vAlign w:val="center"/>
          </w:tcPr>
          <w:p w14:paraId="04AA6552" w14:textId="77777777" w:rsidR="00FC143D" w:rsidRPr="00AC5C4C" w:rsidRDefault="00FC143D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C4C">
              <w:rPr>
                <w:rFonts w:ascii="Arial" w:hAnsi="Arial" w:cs="Arial"/>
                <w:sz w:val="20"/>
                <w:szCs w:val="20"/>
              </w:rPr>
              <w:t xml:space="preserve">Service Providers </w:t>
            </w:r>
          </w:p>
        </w:tc>
        <w:tc>
          <w:tcPr>
            <w:tcW w:w="5387" w:type="dxa"/>
          </w:tcPr>
          <w:p w14:paraId="112E3949" w14:textId="1344A474" w:rsidR="00FC143D" w:rsidRPr="00FB51A0" w:rsidRDefault="00FC143D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Company </w:t>
            </w:r>
            <w:r w:rsidR="00916973">
              <w:rPr>
                <w:rFonts w:cs="Arial"/>
                <w:szCs w:val="20"/>
              </w:rPr>
              <w:t xml:space="preserve">information such as </w:t>
            </w:r>
            <w:r w:rsidRPr="00AC5C4C">
              <w:rPr>
                <w:rFonts w:cs="Arial"/>
                <w:szCs w:val="20"/>
              </w:rPr>
              <w:t xml:space="preserve">name, registration number, </w:t>
            </w:r>
            <w:r w:rsidR="00916973">
              <w:rPr>
                <w:rFonts w:cs="Arial"/>
                <w:szCs w:val="20"/>
              </w:rPr>
              <w:t>VAT</w:t>
            </w:r>
            <w:r w:rsidRPr="00AC5C4C">
              <w:rPr>
                <w:rFonts w:cs="Arial"/>
                <w:szCs w:val="20"/>
              </w:rPr>
              <w:t xml:space="preserve"> </w:t>
            </w:r>
            <w:r w:rsidR="00916973">
              <w:rPr>
                <w:rFonts w:cs="Arial"/>
                <w:szCs w:val="20"/>
              </w:rPr>
              <w:t>information</w:t>
            </w:r>
            <w:r w:rsidRPr="00AC5C4C">
              <w:rPr>
                <w:rFonts w:cs="Arial"/>
                <w:szCs w:val="20"/>
              </w:rPr>
              <w:t xml:space="preserve">, </w:t>
            </w:r>
            <w:r w:rsidR="00916973">
              <w:rPr>
                <w:rFonts w:cs="Arial"/>
                <w:szCs w:val="20"/>
              </w:rPr>
              <w:t xml:space="preserve">registered </w:t>
            </w:r>
            <w:r w:rsidRPr="00AC5C4C">
              <w:rPr>
                <w:rFonts w:cs="Arial"/>
                <w:szCs w:val="20"/>
              </w:rPr>
              <w:t>address</w:t>
            </w:r>
            <w:r w:rsidR="00143AE7">
              <w:rPr>
                <w:rFonts w:cs="Arial"/>
                <w:szCs w:val="20"/>
              </w:rPr>
              <w:t xml:space="preserve">, </w:t>
            </w:r>
            <w:r w:rsidR="00ED53C1">
              <w:rPr>
                <w:rFonts w:cs="Arial"/>
                <w:szCs w:val="20"/>
              </w:rPr>
              <w:t>i</w:t>
            </w:r>
            <w:r w:rsidR="00916973">
              <w:rPr>
                <w:rFonts w:cs="Arial"/>
                <w:szCs w:val="20"/>
              </w:rPr>
              <w:t>nformation obtained from service level</w:t>
            </w:r>
            <w:r>
              <w:rPr>
                <w:rFonts w:cs="Arial"/>
                <w:szCs w:val="20"/>
              </w:rPr>
              <w:t xml:space="preserve"> </w:t>
            </w:r>
            <w:r w:rsidR="00916973">
              <w:rPr>
                <w:rFonts w:cs="Arial"/>
                <w:szCs w:val="20"/>
              </w:rPr>
              <w:t>a</w:t>
            </w:r>
            <w:r>
              <w:rPr>
                <w:rFonts w:cs="Arial"/>
                <w:szCs w:val="20"/>
              </w:rPr>
              <w:t>greement</w:t>
            </w:r>
            <w:r w:rsidR="00916973">
              <w:rPr>
                <w:rFonts w:cs="Arial"/>
                <w:szCs w:val="20"/>
              </w:rPr>
              <w:t>s such as trade secrets</w:t>
            </w:r>
            <w:r w:rsidR="00ED53C1">
              <w:rPr>
                <w:rFonts w:cs="Arial"/>
                <w:szCs w:val="20"/>
              </w:rPr>
              <w:t>,</w:t>
            </w:r>
            <w:r w:rsidRPr="00AC5C4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confidential information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</w:t>
            </w:r>
            <w:r w:rsidRPr="00AC5C4C">
              <w:rPr>
                <w:rFonts w:cs="Arial"/>
                <w:szCs w:val="20"/>
              </w:rPr>
              <w:t>and bank</w:t>
            </w:r>
            <w:r w:rsidR="00916973">
              <w:rPr>
                <w:rFonts w:cs="Arial"/>
                <w:szCs w:val="20"/>
              </w:rPr>
              <w:t>ing information.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FC143D" w:rsidRPr="00AC5C4C" w14:paraId="58DD7DC7" w14:textId="77777777" w:rsidTr="00FC143D">
        <w:tc>
          <w:tcPr>
            <w:tcW w:w="3260" w:type="dxa"/>
            <w:vAlign w:val="center"/>
          </w:tcPr>
          <w:p w14:paraId="376EDC2D" w14:textId="0C2FBC1C" w:rsidR="00FC143D" w:rsidRPr="00AC5C4C" w:rsidRDefault="00FC143D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5C4C">
              <w:rPr>
                <w:rFonts w:ascii="Arial" w:hAnsi="Arial" w:cs="Arial"/>
                <w:sz w:val="20"/>
                <w:szCs w:val="20"/>
              </w:rPr>
              <w:t>Employees</w:t>
            </w:r>
            <w:r w:rsidR="0036012C">
              <w:rPr>
                <w:rFonts w:ascii="Arial" w:hAnsi="Arial" w:cs="Arial"/>
                <w:sz w:val="20"/>
                <w:szCs w:val="20"/>
              </w:rPr>
              <w:t xml:space="preserve"> / Possible Employees</w:t>
            </w:r>
            <w:r w:rsidR="00534314">
              <w:rPr>
                <w:rFonts w:ascii="Arial" w:hAnsi="Arial" w:cs="Arial"/>
                <w:sz w:val="20"/>
                <w:szCs w:val="20"/>
              </w:rPr>
              <w:t xml:space="preserve"> / Directors / Shareholders</w:t>
            </w:r>
          </w:p>
        </w:tc>
        <w:tc>
          <w:tcPr>
            <w:tcW w:w="5387" w:type="dxa"/>
          </w:tcPr>
          <w:p w14:paraId="33016DC9" w14:textId="7DCF97E3" w:rsidR="00FC143D" w:rsidRPr="00AC5C4C" w:rsidRDefault="00916973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Full name, </w:t>
            </w:r>
            <w:r w:rsidR="00534314">
              <w:rPr>
                <w:rFonts w:cs="Arial"/>
                <w:szCs w:val="20"/>
              </w:rPr>
              <w:t xml:space="preserve">identify documentation, </w:t>
            </w:r>
            <w:r w:rsidR="00FC143D" w:rsidRPr="00AC5C4C">
              <w:rPr>
                <w:rFonts w:cs="Arial"/>
                <w:szCs w:val="20"/>
              </w:rPr>
              <w:t xml:space="preserve">address, </w:t>
            </w:r>
            <w:r>
              <w:rPr>
                <w:rFonts w:cs="Arial"/>
                <w:szCs w:val="20"/>
              </w:rPr>
              <w:t xml:space="preserve">contact information, educational </w:t>
            </w:r>
            <w:r w:rsidR="00FC143D" w:rsidRPr="00AC5C4C">
              <w:rPr>
                <w:rFonts w:cs="Arial"/>
                <w:szCs w:val="20"/>
              </w:rPr>
              <w:t>qualifications</w:t>
            </w:r>
            <w:r>
              <w:rPr>
                <w:rFonts w:cs="Arial"/>
                <w:szCs w:val="20"/>
              </w:rPr>
              <w:t xml:space="preserve"> (including curriculum vitae)</w:t>
            </w:r>
            <w:r w:rsidR="00FC143D" w:rsidRPr="00AC5C4C">
              <w:rPr>
                <w:rFonts w:cs="Arial"/>
                <w:szCs w:val="20"/>
              </w:rPr>
              <w:t>, gender</w:t>
            </w:r>
            <w:r>
              <w:rPr>
                <w:rFonts w:cs="Arial"/>
                <w:szCs w:val="20"/>
              </w:rPr>
              <w:t xml:space="preserve">, </w:t>
            </w:r>
            <w:r w:rsidR="00FC143D" w:rsidRPr="00AC5C4C">
              <w:rPr>
                <w:rFonts w:cs="Arial"/>
                <w:szCs w:val="20"/>
              </w:rPr>
              <w:t>race</w:t>
            </w:r>
            <w:r>
              <w:rPr>
                <w:rFonts w:cs="Arial"/>
                <w:szCs w:val="20"/>
              </w:rPr>
              <w:t>, banking information, tax information</w:t>
            </w:r>
            <w:r w:rsidR="00ED53C1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and medical</w:t>
            </w:r>
            <w:r w:rsidR="0060526F">
              <w:rPr>
                <w:rFonts w:cs="Arial"/>
                <w:szCs w:val="20"/>
              </w:rPr>
              <w:t xml:space="preserve"> information</w:t>
            </w:r>
            <w:r>
              <w:rPr>
                <w:rFonts w:cs="Arial"/>
                <w:szCs w:val="20"/>
              </w:rPr>
              <w:t xml:space="preserve">. </w:t>
            </w:r>
          </w:p>
        </w:tc>
      </w:tr>
      <w:tr w:rsidR="00FC143D" w:rsidRPr="00AC5C4C" w14:paraId="40E4FE8E" w14:textId="77777777" w:rsidTr="00FC143D">
        <w:tc>
          <w:tcPr>
            <w:tcW w:w="3260" w:type="dxa"/>
            <w:vAlign w:val="center"/>
          </w:tcPr>
          <w:p w14:paraId="442F1941" w14:textId="41DEBDE9" w:rsidR="00FC143D" w:rsidRPr="00AC5C4C" w:rsidRDefault="00FC143D" w:rsidP="009207A6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Contractors</w:t>
            </w:r>
            <w:r w:rsidR="0036012C">
              <w:rPr>
                <w:rFonts w:ascii="Arial" w:hAnsi="Arial" w:cs="Arial"/>
                <w:sz w:val="20"/>
                <w:szCs w:val="20"/>
              </w:rPr>
              <w:t xml:space="preserve"> / Sub-</w:t>
            </w:r>
            <w:r w:rsidR="000A5F5A">
              <w:rPr>
                <w:rFonts w:ascii="Arial" w:hAnsi="Arial" w:cs="Arial"/>
                <w:sz w:val="20"/>
                <w:szCs w:val="20"/>
              </w:rPr>
              <w:t>Contractors</w:t>
            </w:r>
            <w:r w:rsidR="006E1F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5DE8A3E9" w14:textId="00D20CFA" w:rsidR="00FC143D" w:rsidRPr="00AC5C4C" w:rsidRDefault="00EC5716" w:rsidP="009207A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Company information such as </w:t>
            </w:r>
            <w:r w:rsidRPr="00AC5C4C">
              <w:rPr>
                <w:rFonts w:cs="Arial"/>
                <w:szCs w:val="20"/>
              </w:rPr>
              <w:t xml:space="preserve">name, registration number, </w:t>
            </w:r>
            <w:r>
              <w:rPr>
                <w:rFonts w:cs="Arial"/>
                <w:szCs w:val="20"/>
              </w:rPr>
              <w:t>VAT</w:t>
            </w:r>
            <w:r w:rsidRPr="00AC5C4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information</w:t>
            </w:r>
            <w:r w:rsidRPr="00AC5C4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 xml:space="preserve">registered </w:t>
            </w:r>
            <w:r w:rsidRPr="00AC5C4C">
              <w:rPr>
                <w:rFonts w:cs="Arial"/>
                <w:szCs w:val="20"/>
              </w:rPr>
              <w:t>address</w:t>
            </w:r>
            <w:r>
              <w:rPr>
                <w:rFonts w:cs="Arial"/>
                <w:szCs w:val="20"/>
              </w:rPr>
              <w:t xml:space="preserve">, and/or personal information such as </w:t>
            </w:r>
            <w:r w:rsidR="0039153D">
              <w:rPr>
                <w:rFonts w:cs="Arial"/>
                <w:szCs w:val="20"/>
              </w:rPr>
              <w:t>full name, address, identity number</w:t>
            </w:r>
            <w:r w:rsidR="00143AE7">
              <w:rPr>
                <w:rFonts w:cs="Arial"/>
                <w:szCs w:val="20"/>
              </w:rPr>
              <w:t xml:space="preserve">, </w:t>
            </w:r>
            <w:r w:rsidR="0039153D">
              <w:rPr>
                <w:rFonts w:cs="Arial"/>
                <w:szCs w:val="20"/>
              </w:rPr>
              <w:t>contact information</w:t>
            </w:r>
            <w:r w:rsidR="00143AE7">
              <w:rPr>
                <w:rFonts w:cs="Arial"/>
                <w:szCs w:val="20"/>
              </w:rPr>
              <w:t>,</w:t>
            </w:r>
            <w:r w:rsidR="0039153D">
              <w:rPr>
                <w:rFonts w:cs="Arial"/>
                <w:szCs w:val="20"/>
              </w:rPr>
              <w:t xml:space="preserve"> and</w:t>
            </w:r>
            <w:r>
              <w:rPr>
                <w:rFonts w:cs="Arial"/>
                <w:szCs w:val="20"/>
              </w:rPr>
              <w:t xml:space="preserve"> information obtained from contractual agreements such as confidential information, banking information</w:t>
            </w:r>
            <w:r w:rsidR="00E449A8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and/or tax information.</w:t>
            </w:r>
          </w:p>
        </w:tc>
      </w:tr>
    </w:tbl>
    <w:p w14:paraId="18245C81" w14:textId="77777777" w:rsidR="00E449A8" w:rsidRDefault="00E449A8" w:rsidP="00E449A8">
      <w:pPr>
        <w:pStyle w:val="BodyLevel2"/>
        <w:numPr>
          <w:ilvl w:val="0"/>
          <w:numId w:val="0"/>
        </w:numPr>
        <w:ind w:left="1418"/>
        <w:rPr>
          <w:b/>
          <w:bCs/>
        </w:rPr>
      </w:pPr>
    </w:p>
    <w:p w14:paraId="61680E0B" w14:textId="154877B0" w:rsidR="00D94EDA" w:rsidRPr="00782162" w:rsidRDefault="00D94EDA" w:rsidP="009207A6">
      <w:pPr>
        <w:pStyle w:val="BodyLevel2"/>
        <w:rPr>
          <w:b/>
          <w:bCs/>
        </w:rPr>
      </w:pPr>
      <w:r w:rsidRPr="00782162">
        <w:rPr>
          <w:b/>
          <w:bCs/>
        </w:rPr>
        <w:lastRenderedPageBreak/>
        <w:t>Third Part</w:t>
      </w:r>
      <w:r w:rsidR="006E1F5A">
        <w:rPr>
          <w:b/>
          <w:bCs/>
        </w:rPr>
        <w:t>y</w:t>
      </w:r>
      <w:r w:rsidRPr="00782162">
        <w:rPr>
          <w:b/>
          <w:bCs/>
        </w:rPr>
        <w:t xml:space="preserve"> Recipients to whom </w:t>
      </w:r>
      <w:r w:rsidR="00D04558">
        <w:rPr>
          <w:b/>
          <w:bCs/>
        </w:rPr>
        <w:t>AJM</w:t>
      </w:r>
      <w:r w:rsidRPr="00782162">
        <w:rPr>
          <w:b/>
          <w:bCs/>
        </w:rPr>
        <w:t xml:space="preserve"> shares personal information </w:t>
      </w:r>
    </w:p>
    <w:p w14:paraId="06B6E8E1" w14:textId="7C26A9AA" w:rsidR="00D94EDA" w:rsidRDefault="00D94EDA" w:rsidP="009207A6">
      <w:pPr>
        <w:pStyle w:val="Body"/>
        <w:ind w:left="1418"/>
      </w:pPr>
      <w:r>
        <w:t xml:space="preserve">In accordance with our operational requirements, </w:t>
      </w:r>
      <w:r w:rsidR="00D04558">
        <w:t>AJM</w:t>
      </w:r>
      <w:r>
        <w:t xml:space="preserve"> shares personal information with the following </w:t>
      </w:r>
      <w:r w:rsidR="000D117B">
        <w:t>third parties</w:t>
      </w:r>
      <w:r w:rsidR="00E449A8">
        <w:t>:</w:t>
      </w:r>
    </w:p>
    <w:tbl>
      <w:tblPr>
        <w:tblStyle w:val="TableGrid1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856"/>
        <w:gridCol w:w="4791"/>
      </w:tblGrid>
      <w:tr w:rsidR="000D117B" w:rsidRPr="00AC5C4C" w14:paraId="63222217" w14:textId="77777777" w:rsidTr="000D117B">
        <w:trPr>
          <w:trHeight w:val="347"/>
          <w:tblHeader/>
        </w:trPr>
        <w:tc>
          <w:tcPr>
            <w:tcW w:w="3856" w:type="dxa"/>
            <w:shd w:val="clear" w:color="auto" w:fill="A6A6A6" w:themeFill="background1" w:themeFillShade="A6"/>
          </w:tcPr>
          <w:p w14:paraId="61DF1D2A" w14:textId="77777777" w:rsidR="000D117B" w:rsidRPr="00AC5C4C" w:rsidRDefault="000D117B" w:rsidP="00920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0"/>
              </w:rPr>
            </w:pPr>
            <w:r w:rsidRPr="00AC5C4C">
              <w:rPr>
                <w:rFonts w:cs="Arial"/>
                <w:b/>
                <w:bCs/>
                <w:color w:val="000000"/>
                <w:szCs w:val="20"/>
              </w:rPr>
              <w:t xml:space="preserve">Category of personal information </w:t>
            </w:r>
          </w:p>
        </w:tc>
        <w:tc>
          <w:tcPr>
            <w:tcW w:w="4791" w:type="dxa"/>
            <w:shd w:val="clear" w:color="auto" w:fill="A6A6A6" w:themeFill="background1" w:themeFillShade="A6"/>
          </w:tcPr>
          <w:p w14:paraId="585F829A" w14:textId="3A051F5D" w:rsidR="000D117B" w:rsidRPr="000D117B" w:rsidRDefault="000D117B" w:rsidP="009207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b/>
                <w:bCs/>
                <w:color w:val="000000"/>
                <w:szCs w:val="20"/>
              </w:rPr>
            </w:pPr>
            <w:r w:rsidRPr="00AC5C4C">
              <w:rPr>
                <w:rFonts w:cs="Arial"/>
                <w:b/>
                <w:bCs/>
                <w:color w:val="000000"/>
                <w:szCs w:val="20"/>
              </w:rPr>
              <w:t>Recipients or Categories of Recipients</w:t>
            </w:r>
            <w:r w:rsidRPr="00AC5C4C">
              <w:rPr>
                <w:rFonts w:cs="Arial"/>
                <w:szCs w:val="20"/>
              </w:rPr>
              <w:t xml:space="preserve"> </w:t>
            </w:r>
            <w:r w:rsidRPr="00AC5C4C">
              <w:rPr>
                <w:rFonts w:cs="Arial"/>
                <w:b/>
                <w:bCs/>
                <w:color w:val="000000"/>
                <w:szCs w:val="20"/>
              </w:rPr>
              <w:t>to whom the personal information may be supplied</w:t>
            </w:r>
          </w:p>
        </w:tc>
      </w:tr>
      <w:tr w:rsidR="000D117B" w:rsidRPr="00AC5C4C" w14:paraId="0271F5AD" w14:textId="77777777" w:rsidTr="000D117B">
        <w:tc>
          <w:tcPr>
            <w:tcW w:w="3856" w:type="dxa"/>
          </w:tcPr>
          <w:p w14:paraId="0B569D78" w14:textId="100491C0" w:rsidR="000D117B" w:rsidRPr="00AC5C4C" w:rsidRDefault="00996EE8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Identity, Contact, Communication, Financial, Transactional, Contractual, Technical and Usage information</w:t>
            </w:r>
            <w:r w:rsidR="00EF6E14">
              <w:rPr>
                <w:rFonts w:cs="Arial"/>
                <w:szCs w:val="20"/>
              </w:rPr>
              <w:t>.</w:t>
            </w:r>
          </w:p>
        </w:tc>
        <w:tc>
          <w:tcPr>
            <w:tcW w:w="4791" w:type="dxa"/>
          </w:tcPr>
          <w:p w14:paraId="14E3CE67" w14:textId="1D7B9DE8" w:rsidR="000D117B" w:rsidRPr="00AC5C4C" w:rsidRDefault="006E1F5A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t xml:space="preserve">Website provider and developers. </w:t>
            </w:r>
          </w:p>
        </w:tc>
      </w:tr>
      <w:tr w:rsidR="000D117B" w:rsidRPr="00AC5C4C" w14:paraId="183FFFC8" w14:textId="77777777" w:rsidTr="000D117B">
        <w:tc>
          <w:tcPr>
            <w:tcW w:w="3856" w:type="dxa"/>
          </w:tcPr>
          <w:p w14:paraId="56808FE9" w14:textId="13F15068" w:rsidR="000D117B" w:rsidRPr="00AC5C4C" w:rsidRDefault="00BE4FB7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Identity, Contact,</w:t>
            </w:r>
            <w:r w:rsidR="00216761">
              <w:rPr>
                <w:rFonts w:cs="Arial"/>
                <w:szCs w:val="20"/>
              </w:rPr>
              <w:t xml:space="preserve"> Communication,</w:t>
            </w:r>
            <w:r>
              <w:rPr>
                <w:rFonts w:cs="Arial"/>
                <w:szCs w:val="20"/>
              </w:rPr>
              <w:t xml:space="preserve"> Financial, Transactional, Contractual, </w:t>
            </w:r>
            <w:r w:rsidR="00216761">
              <w:rPr>
                <w:rFonts w:cs="Arial"/>
                <w:szCs w:val="20"/>
              </w:rPr>
              <w:t xml:space="preserve">Technical and </w:t>
            </w:r>
            <w:r>
              <w:rPr>
                <w:rFonts w:cs="Arial"/>
                <w:szCs w:val="20"/>
              </w:rPr>
              <w:t>Usage</w:t>
            </w:r>
            <w:r w:rsidR="00216761">
              <w:rPr>
                <w:rFonts w:cs="Arial"/>
                <w:szCs w:val="20"/>
              </w:rPr>
              <w:t xml:space="preserve"> information</w:t>
            </w:r>
            <w:r w:rsidR="003A364E">
              <w:rPr>
                <w:rFonts w:cs="Arial"/>
                <w:szCs w:val="20"/>
              </w:rPr>
              <w:t xml:space="preserve"> for client and internal communication</w:t>
            </w:r>
            <w:r w:rsidR="00216761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4791" w:type="dxa"/>
          </w:tcPr>
          <w:p w14:paraId="1D1DB89C" w14:textId="7247DFA2" w:rsidR="000D117B" w:rsidRPr="00AC5C4C" w:rsidRDefault="006E1F5A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t>Marketing and communication software providers</w:t>
            </w:r>
            <w:r w:rsidR="00E449A8">
              <w:t>.</w:t>
            </w:r>
          </w:p>
        </w:tc>
      </w:tr>
      <w:tr w:rsidR="000D117B" w:rsidRPr="00AC5C4C" w14:paraId="372A12CA" w14:textId="77777777" w:rsidTr="000D117B">
        <w:tc>
          <w:tcPr>
            <w:tcW w:w="3856" w:type="dxa"/>
          </w:tcPr>
          <w:p w14:paraId="41BFE66E" w14:textId="5704075A" w:rsidR="000D117B" w:rsidRPr="00AC5C4C" w:rsidRDefault="00216761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Identity, Contact, Communication, Financial, Transactional, Contractual, Technical and Usage information for </w:t>
            </w:r>
            <w:r w:rsidR="006E1F5A">
              <w:rPr>
                <w:rFonts w:cs="Arial"/>
                <w:szCs w:val="20"/>
              </w:rPr>
              <w:t xml:space="preserve">platform </w:t>
            </w:r>
            <w:r>
              <w:rPr>
                <w:rFonts w:cs="Arial"/>
                <w:szCs w:val="20"/>
              </w:rPr>
              <w:t xml:space="preserve">management. </w:t>
            </w:r>
          </w:p>
        </w:tc>
        <w:tc>
          <w:tcPr>
            <w:tcW w:w="4791" w:type="dxa"/>
          </w:tcPr>
          <w:p w14:paraId="79F7EC1D" w14:textId="4A5B33E0" w:rsidR="000D117B" w:rsidRPr="00AC5C4C" w:rsidRDefault="006E1F5A" w:rsidP="009207A6">
            <w:pPr>
              <w:spacing w:line="276" w:lineRule="auto"/>
              <w:jc w:val="both"/>
              <w:rPr>
                <w:rFonts w:cs="Arial"/>
                <w:szCs w:val="20"/>
              </w:rPr>
            </w:pPr>
            <w:r>
              <w:t>Analytical software providers</w:t>
            </w:r>
            <w:r w:rsidR="00E449A8">
              <w:t>.</w:t>
            </w:r>
          </w:p>
        </w:tc>
      </w:tr>
    </w:tbl>
    <w:p w14:paraId="67A9906C" w14:textId="348D9146" w:rsidR="00782162" w:rsidRPr="00782162" w:rsidRDefault="00782162" w:rsidP="009207A6">
      <w:pPr>
        <w:pStyle w:val="BodyLevel2"/>
        <w:rPr>
          <w:b/>
          <w:bCs/>
        </w:rPr>
      </w:pPr>
      <w:r w:rsidRPr="00782162">
        <w:rPr>
          <w:b/>
          <w:bCs/>
        </w:rPr>
        <w:t>International Transfers</w:t>
      </w:r>
    </w:p>
    <w:p w14:paraId="1C2AB8DC" w14:textId="38551ADE" w:rsidR="00782162" w:rsidRDefault="00D04558" w:rsidP="009207A6">
      <w:pPr>
        <w:pStyle w:val="BodyLevel3"/>
        <w:rPr>
          <w:rFonts w:eastAsia="Calibri"/>
          <w:lang w:eastAsia="en-ZA"/>
        </w:rPr>
      </w:pPr>
      <w:r>
        <w:rPr>
          <w:rFonts w:eastAsia="Calibri"/>
          <w:lang w:eastAsia="en-ZA"/>
        </w:rPr>
        <w:t>AJM</w:t>
      </w:r>
      <w:r w:rsidR="00782162">
        <w:rPr>
          <w:rFonts w:eastAsia="Calibri"/>
          <w:lang w:eastAsia="en-ZA"/>
        </w:rPr>
        <w:t xml:space="preserve"> may transfer personal information outside of South Africa in the following circumstances: </w:t>
      </w:r>
    </w:p>
    <w:p w14:paraId="69896919" w14:textId="6CB1D300" w:rsidR="00782162" w:rsidRDefault="00E6537C" w:rsidP="009207A6">
      <w:pPr>
        <w:pStyle w:val="BodyLevel4"/>
        <w:rPr>
          <w:lang w:eastAsia="en-ZA"/>
        </w:rPr>
      </w:pPr>
      <w:r>
        <w:rPr>
          <w:lang w:eastAsia="en-ZA"/>
        </w:rPr>
        <w:t xml:space="preserve">Personal information which is stored using secure cloud severs </w:t>
      </w:r>
      <w:r w:rsidR="00EF6E14">
        <w:rPr>
          <w:lang w:eastAsia="en-ZA"/>
        </w:rPr>
        <w:t>hosted</w:t>
      </w:r>
      <w:r>
        <w:rPr>
          <w:lang w:eastAsia="en-ZA"/>
        </w:rPr>
        <w:t xml:space="preserve"> outside of South Africa</w:t>
      </w:r>
      <w:r w:rsidR="00E2410D">
        <w:rPr>
          <w:lang w:eastAsia="en-ZA"/>
        </w:rPr>
        <w:t xml:space="preserve">. </w:t>
      </w:r>
    </w:p>
    <w:p w14:paraId="6C1D858D" w14:textId="47918601" w:rsidR="00782162" w:rsidRPr="004F361B" w:rsidRDefault="00782162" w:rsidP="009207A6">
      <w:pPr>
        <w:pStyle w:val="BodyLevel3"/>
        <w:rPr>
          <w:rFonts w:eastAsia="Calibri"/>
          <w:lang w:eastAsia="en-ZA"/>
        </w:rPr>
      </w:pPr>
      <w:r w:rsidRPr="004F361B">
        <w:rPr>
          <w:rFonts w:eastAsia="Calibri"/>
          <w:lang w:eastAsia="en-ZA"/>
        </w:rPr>
        <w:t xml:space="preserve">Whenever </w:t>
      </w:r>
      <w:r w:rsidR="00D04558">
        <w:rPr>
          <w:rFonts w:eastAsia="Calibri"/>
          <w:lang w:eastAsia="en-ZA"/>
        </w:rPr>
        <w:t>AJM</w:t>
      </w:r>
      <w:r w:rsidRPr="004F361B">
        <w:rPr>
          <w:rFonts w:eastAsia="Calibri"/>
          <w:lang w:eastAsia="en-ZA"/>
        </w:rPr>
        <w:t xml:space="preserve"> transfer</w:t>
      </w:r>
      <w:r w:rsidR="00D41DCB">
        <w:rPr>
          <w:rFonts w:eastAsia="Calibri"/>
          <w:lang w:eastAsia="en-ZA"/>
        </w:rPr>
        <w:t>s</w:t>
      </w:r>
      <w:r w:rsidRPr="004F361B">
        <w:rPr>
          <w:rFonts w:eastAsia="Calibri"/>
          <w:lang w:eastAsia="en-ZA"/>
        </w:rPr>
        <w:t xml:space="preserve"> </w:t>
      </w:r>
      <w:r w:rsidR="003046A4">
        <w:rPr>
          <w:rFonts w:eastAsia="Calibri"/>
          <w:lang w:eastAsia="en-ZA"/>
        </w:rPr>
        <w:t>any p</w:t>
      </w:r>
      <w:r w:rsidRPr="004F361B">
        <w:rPr>
          <w:rFonts w:eastAsia="Calibri"/>
          <w:lang w:eastAsia="en-ZA"/>
        </w:rPr>
        <w:t xml:space="preserve">ersonal </w:t>
      </w:r>
      <w:r w:rsidR="003046A4">
        <w:rPr>
          <w:rFonts w:eastAsia="Calibri"/>
          <w:lang w:eastAsia="en-ZA"/>
        </w:rPr>
        <w:t>information</w:t>
      </w:r>
      <w:r w:rsidRPr="004F361B">
        <w:rPr>
          <w:rFonts w:eastAsia="Calibri"/>
          <w:lang w:eastAsia="en-ZA"/>
        </w:rPr>
        <w:t xml:space="preserve"> out</w:t>
      </w:r>
      <w:r w:rsidR="004E14A8">
        <w:rPr>
          <w:rFonts w:eastAsia="Calibri"/>
          <w:lang w:eastAsia="en-ZA"/>
        </w:rPr>
        <w:t>side</w:t>
      </w:r>
      <w:r w:rsidRPr="004F361B">
        <w:rPr>
          <w:rFonts w:eastAsia="Calibri"/>
          <w:lang w:eastAsia="en-ZA"/>
        </w:rPr>
        <w:t xml:space="preserve"> of </w:t>
      </w:r>
      <w:r w:rsidR="003046A4">
        <w:rPr>
          <w:rFonts w:eastAsia="Calibri"/>
          <w:lang w:eastAsia="en-ZA"/>
        </w:rPr>
        <w:t>South Africa</w:t>
      </w:r>
      <w:r w:rsidRPr="004F361B">
        <w:rPr>
          <w:rFonts w:eastAsia="Calibri"/>
          <w:lang w:eastAsia="en-ZA"/>
        </w:rPr>
        <w:t xml:space="preserve">, </w:t>
      </w:r>
      <w:r w:rsidR="0066325E">
        <w:rPr>
          <w:rFonts w:eastAsia="Calibri"/>
          <w:lang w:eastAsia="en-ZA"/>
        </w:rPr>
        <w:t xml:space="preserve">we </w:t>
      </w:r>
      <w:r w:rsidR="003046A4">
        <w:rPr>
          <w:rFonts w:eastAsia="Calibri"/>
          <w:lang w:eastAsia="en-ZA"/>
        </w:rPr>
        <w:t xml:space="preserve">always </w:t>
      </w:r>
      <w:r w:rsidR="0066325E" w:rsidRPr="004F361B">
        <w:rPr>
          <w:rFonts w:eastAsia="Calibri"/>
          <w:lang w:eastAsia="en-ZA"/>
        </w:rPr>
        <w:t>ensure</w:t>
      </w:r>
      <w:r w:rsidRPr="004F361B">
        <w:rPr>
          <w:rFonts w:eastAsia="Calibri"/>
          <w:lang w:eastAsia="en-ZA"/>
        </w:rPr>
        <w:t xml:space="preserve"> a similar degree of protection is afforded to it by ensuring at least one of the following safeguards </w:t>
      </w:r>
      <w:r w:rsidR="003046A4">
        <w:rPr>
          <w:rFonts w:eastAsia="Calibri"/>
          <w:lang w:eastAsia="en-ZA"/>
        </w:rPr>
        <w:t>are</w:t>
      </w:r>
      <w:r w:rsidRPr="004F361B">
        <w:rPr>
          <w:rFonts w:eastAsia="Calibri"/>
          <w:lang w:eastAsia="en-ZA"/>
        </w:rPr>
        <w:t xml:space="preserve"> implemented:</w:t>
      </w:r>
    </w:p>
    <w:p w14:paraId="439960BE" w14:textId="7A4B180C" w:rsidR="00782162" w:rsidRDefault="00D41DCB" w:rsidP="009207A6">
      <w:pPr>
        <w:pStyle w:val="BodyLevel4"/>
        <w:rPr>
          <w:lang w:eastAsia="en-ZA"/>
        </w:rPr>
      </w:pPr>
      <w:r>
        <w:rPr>
          <w:lang w:eastAsia="en-ZA"/>
        </w:rPr>
        <w:t>there are</w:t>
      </w:r>
      <w:r w:rsidR="00782162">
        <w:rPr>
          <w:lang w:eastAsia="en-ZA"/>
        </w:rPr>
        <w:t xml:space="preserve"> contracts in place with all such </w:t>
      </w:r>
      <w:r w:rsidR="00707106">
        <w:rPr>
          <w:lang w:eastAsia="en-ZA"/>
        </w:rPr>
        <w:t xml:space="preserve">third </w:t>
      </w:r>
      <w:r w:rsidR="00782162">
        <w:rPr>
          <w:lang w:eastAsia="en-ZA"/>
        </w:rPr>
        <w:t xml:space="preserve">parties, providing warranties that they will process </w:t>
      </w:r>
      <w:r w:rsidR="004E14A8">
        <w:rPr>
          <w:lang w:eastAsia="en-ZA"/>
        </w:rPr>
        <w:t>the perso</w:t>
      </w:r>
      <w:r>
        <w:rPr>
          <w:lang w:eastAsia="en-ZA"/>
        </w:rPr>
        <w:t>nal</w:t>
      </w:r>
      <w:r w:rsidR="004E14A8">
        <w:rPr>
          <w:lang w:eastAsia="en-ZA"/>
        </w:rPr>
        <w:t xml:space="preserve"> information </w:t>
      </w:r>
      <w:r w:rsidR="00782162">
        <w:rPr>
          <w:lang w:eastAsia="en-ZA"/>
        </w:rPr>
        <w:t xml:space="preserve">at standards equal to or better than those </w:t>
      </w:r>
      <w:r>
        <w:rPr>
          <w:lang w:eastAsia="en-ZA"/>
        </w:rPr>
        <w:t xml:space="preserve">applied by </w:t>
      </w:r>
      <w:r w:rsidR="00D04558">
        <w:rPr>
          <w:lang w:eastAsia="en-ZA"/>
        </w:rPr>
        <w:t>AJM</w:t>
      </w:r>
      <w:r w:rsidR="00782162">
        <w:rPr>
          <w:lang w:eastAsia="en-ZA"/>
        </w:rPr>
        <w:t>; and</w:t>
      </w:r>
    </w:p>
    <w:p w14:paraId="6E212FDD" w14:textId="7F477C54" w:rsidR="00782162" w:rsidRPr="004F361B" w:rsidRDefault="00D04558" w:rsidP="009207A6">
      <w:pPr>
        <w:pStyle w:val="BodyLevel4"/>
        <w:rPr>
          <w:lang w:eastAsia="en-ZA"/>
        </w:rPr>
      </w:pPr>
      <w:r>
        <w:rPr>
          <w:lang w:eastAsia="en-ZA"/>
        </w:rPr>
        <w:t>AJM</w:t>
      </w:r>
      <w:r w:rsidR="00D41DCB">
        <w:rPr>
          <w:lang w:eastAsia="en-ZA"/>
        </w:rPr>
        <w:t xml:space="preserve"> </w:t>
      </w:r>
      <w:r w:rsidR="00782162" w:rsidRPr="004F361B">
        <w:rPr>
          <w:lang w:eastAsia="en-ZA"/>
        </w:rPr>
        <w:t xml:space="preserve">will only transfer </w:t>
      </w:r>
      <w:r w:rsidR="004E14A8">
        <w:rPr>
          <w:lang w:eastAsia="en-ZA"/>
        </w:rPr>
        <w:t>personal information</w:t>
      </w:r>
      <w:r w:rsidR="00782162" w:rsidRPr="004F361B">
        <w:rPr>
          <w:lang w:eastAsia="en-ZA"/>
        </w:rPr>
        <w:t xml:space="preserve"> to countries that have been deemed to provide an adequate level of protection for personal </w:t>
      </w:r>
      <w:r w:rsidR="004E14A8">
        <w:rPr>
          <w:lang w:eastAsia="en-ZA"/>
        </w:rPr>
        <w:t xml:space="preserve">information </w:t>
      </w:r>
      <w:r w:rsidR="00782162" w:rsidRPr="004F361B">
        <w:rPr>
          <w:lang w:eastAsia="en-ZA"/>
        </w:rPr>
        <w:t xml:space="preserve">by the </w:t>
      </w:r>
      <w:r w:rsidR="00782162">
        <w:rPr>
          <w:lang w:eastAsia="en-ZA"/>
        </w:rPr>
        <w:t>Regulator</w:t>
      </w:r>
      <w:r w:rsidR="004E14A8">
        <w:rPr>
          <w:lang w:eastAsia="en-ZA"/>
        </w:rPr>
        <w:t xml:space="preserve">. </w:t>
      </w:r>
    </w:p>
    <w:p w14:paraId="360B0C23" w14:textId="78A3D6B2" w:rsidR="00782162" w:rsidRPr="0030185D" w:rsidRDefault="004E14A8" w:rsidP="009207A6">
      <w:pPr>
        <w:pStyle w:val="BodyLevel2"/>
        <w:rPr>
          <w:b/>
          <w:bCs/>
        </w:rPr>
      </w:pPr>
      <w:r w:rsidRPr="0030185D">
        <w:rPr>
          <w:b/>
          <w:bCs/>
        </w:rPr>
        <w:t xml:space="preserve">Data Security </w:t>
      </w:r>
    </w:p>
    <w:p w14:paraId="407069AB" w14:textId="1B5F7BC4" w:rsidR="004E14A8" w:rsidRPr="00A7026E" w:rsidRDefault="0030185D" w:rsidP="009207A6">
      <w:pPr>
        <w:pStyle w:val="BodyLevel3"/>
      </w:pPr>
      <w:r>
        <w:t xml:space="preserve">To </w:t>
      </w:r>
      <w:r w:rsidRPr="004F361B">
        <w:rPr>
          <w:rFonts w:eastAsia="Calibri"/>
          <w:color w:val="000000"/>
          <w:szCs w:val="20"/>
          <w:lang w:eastAsia="en-ZA"/>
        </w:rPr>
        <w:t xml:space="preserve">prevent </w:t>
      </w:r>
      <w:r>
        <w:rPr>
          <w:rFonts w:eastAsia="Calibri"/>
          <w:color w:val="000000"/>
          <w:szCs w:val="20"/>
          <w:lang w:eastAsia="en-ZA"/>
        </w:rPr>
        <w:t xml:space="preserve">the </w:t>
      </w:r>
      <w:r w:rsidRPr="004F361B">
        <w:rPr>
          <w:rFonts w:eastAsia="Calibri"/>
          <w:color w:val="000000"/>
          <w:szCs w:val="20"/>
          <w:lang w:eastAsia="en-ZA"/>
        </w:rPr>
        <w:t xml:space="preserve">personal </w:t>
      </w:r>
      <w:r w:rsidR="00A7026E">
        <w:rPr>
          <w:rFonts w:eastAsia="Calibri"/>
          <w:color w:val="000000"/>
          <w:szCs w:val="20"/>
          <w:lang w:eastAsia="en-ZA"/>
        </w:rPr>
        <w:t xml:space="preserve">information </w:t>
      </w:r>
      <w:r w:rsidR="00D04558">
        <w:rPr>
          <w:rFonts w:eastAsia="Calibri"/>
          <w:color w:val="000000"/>
          <w:szCs w:val="20"/>
          <w:lang w:eastAsia="en-ZA"/>
        </w:rPr>
        <w:t>AJM</w:t>
      </w:r>
      <w:r>
        <w:rPr>
          <w:rFonts w:eastAsia="Calibri"/>
          <w:color w:val="000000"/>
          <w:szCs w:val="20"/>
          <w:lang w:eastAsia="en-ZA"/>
        </w:rPr>
        <w:t xml:space="preserve"> process</w:t>
      </w:r>
      <w:r w:rsidR="00D41DCB">
        <w:rPr>
          <w:rFonts w:eastAsia="Calibri"/>
          <w:color w:val="000000"/>
          <w:szCs w:val="20"/>
          <w:lang w:eastAsia="en-ZA"/>
        </w:rPr>
        <w:t>es</w:t>
      </w:r>
      <w:r>
        <w:rPr>
          <w:rFonts w:eastAsia="Calibri"/>
          <w:color w:val="000000"/>
          <w:szCs w:val="20"/>
          <w:lang w:eastAsia="en-ZA"/>
        </w:rPr>
        <w:t xml:space="preserve"> </w:t>
      </w:r>
      <w:r w:rsidRPr="004F361B">
        <w:rPr>
          <w:rFonts w:eastAsia="Calibri"/>
          <w:color w:val="000000"/>
          <w:szCs w:val="20"/>
          <w:lang w:eastAsia="en-ZA"/>
        </w:rPr>
        <w:t>from being accidentally lost, used</w:t>
      </w:r>
      <w:r w:rsidR="00E449A8">
        <w:rPr>
          <w:rFonts w:eastAsia="Calibri"/>
          <w:color w:val="000000"/>
          <w:szCs w:val="20"/>
          <w:lang w:eastAsia="en-ZA"/>
        </w:rPr>
        <w:t>,</w:t>
      </w:r>
      <w:r w:rsidRPr="004F361B">
        <w:rPr>
          <w:rFonts w:eastAsia="Calibri"/>
          <w:color w:val="000000"/>
          <w:szCs w:val="20"/>
          <w:lang w:eastAsia="en-ZA"/>
        </w:rPr>
        <w:t xml:space="preserve"> or accessed in an unauthorised way, altered</w:t>
      </w:r>
      <w:r w:rsidR="00E449A8">
        <w:rPr>
          <w:rFonts w:eastAsia="Calibri"/>
          <w:color w:val="000000"/>
          <w:szCs w:val="20"/>
          <w:lang w:eastAsia="en-ZA"/>
        </w:rPr>
        <w:t>,</w:t>
      </w:r>
      <w:r w:rsidRPr="004F361B">
        <w:rPr>
          <w:rFonts w:eastAsia="Calibri"/>
          <w:color w:val="000000"/>
          <w:szCs w:val="20"/>
          <w:lang w:eastAsia="en-ZA"/>
        </w:rPr>
        <w:t xml:space="preserve"> or disclosed</w:t>
      </w:r>
      <w:r w:rsidR="00E449A8">
        <w:rPr>
          <w:rFonts w:eastAsia="Calibri"/>
          <w:color w:val="000000"/>
          <w:szCs w:val="20"/>
          <w:lang w:eastAsia="en-ZA"/>
        </w:rPr>
        <w:t>,</w:t>
      </w:r>
      <w:r w:rsidRPr="004F361B">
        <w:rPr>
          <w:rFonts w:eastAsia="Calibri"/>
          <w:color w:val="000000"/>
          <w:szCs w:val="20"/>
          <w:lang w:eastAsia="en-ZA"/>
        </w:rPr>
        <w:t xml:space="preserve"> </w:t>
      </w:r>
      <w:r w:rsidR="00E449A8">
        <w:rPr>
          <w:rFonts w:eastAsia="Calibri"/>
          <w:color w:val="000000"/>
          <w:szCs w:val="20"/>
          <w:lang w:eastAsia="en-ZA"/>
        </w:rPr>
        <w:t>AJM uses</w:t>
      </w:r>
      <w:r w:rsidR="00996EE8">
        <w:rPr>
          <w:rFonts w:eastAsia="Calibri"/>
          <w:color w:val="000000"/>
          <w:szCs w:val="20"/>
          <w:lang w:eastAsia="en-ZA"/>
        </w:rPr>
        <w:t xml:space="preserve"> firewalls</w:t>
      </w:r>
      <w:r w:rsidR="009207A6">
        <w:rPr>
          <w:rFonts w:eastAsia="Calibri"/>
          <w:color w:val="000000"/>
          <w:szCs w:val="20"/>
          <w:lang w:eastAsia="en-ZA"/>
        </w:rPr>
        <w:t>, antivirus protection,</w:t>
      </w:r>
      <w:r w:rsidR="00E449A8">
        <w:rPr>
          <w:rFonts w:eastAsia="Calibri"/>
          <w:color w:val="000000"/>
          <w:szCs w:val="20"/>
          <w:lang w:eastAsia="en-ZA"/>
        </w:rPr>
        <w:t xml:space="preserve"> and</w:t>
      </w:r>
      <w:r w:rsidR="009207A6">
        <w:rPr>
          <w:rFonts w:eastAsia="Calibri"/>
          <w:color w:val="000000"/>
          <w:szCs w:val="20"/>
          <w:lang w:eastAsia="en-ZA"/>
        </w:rPr>
        <w:t xml:space="preserve"> secure software and operating systems</w:t>
      </w:r>
      <w:r w:rsidR="00A7026E">
        <w:rPr>
          <w:rFonts w:eastAsia="Calibri"/>
          <w:color w:val="000000"/>
          <w:szCs w:val="20"/>
          <w:lang w:eastAsia="en-ZA"/>
        </w:rPr>
        <w:t>. All information processed is</w:t>
      </w:r>
      <w:r w:rsidR="00AD2629">
        <w:rPr>
          <w:rFonts w:eastAsia="Calibri"/>
          <w:color w:val="000000"/>
          <w:szCs w:val="20"/>
          <w:lang w:eastAsia="en-ZA"/>
        </w:rPr>
        <w:t xml:space="preserve"> also</w:t>
      </w:r>
      <w:r w:rsidR="00A7026E">
        <w:rPr>
          <w:rFonts w:eastAsia="Calibri"/>
          <w:color w:val="000000"/>
          <w:szCs w:val="20"/>
          <w:lang w:eastAsia="en-ZA"/>
        </w:rPr>
        <w:t xml:space="preserve"> restricted to only those individuals who need access. </w:t>
      </w:r>
    </w:p>
    <w:p w14:paraId="24D1968D" w14:textId="1149180B" w:rsidR="00A7026E" w:rsidRDefault="00A7026E" w:rsidP="009207A6">
      <w:pPr>
        <w:pStyle w:val="BodyLevel1"/>
      </w:pPr>
      <w:r>
        <w:t xml:space="preserve">AVAILABILITY OF PAIA MANUAL </w:t>
      </w:r>
    </w:p>
    <w:p w14:paraId="2D70FF95" w14:textId="4162C12B" w:rsidR="00A7026E" w:rsidRPr="00AC5C4C" w:rsidRDefault="00A7026E" w:rsidP="009207A6">
      <w:pPr>
        <w:pStyle w:val="BodyLevel2"/>
      </w:pPr>
      <w:r w:rsidRPr="00AC5C4C">
        <w:t>A copy of th</w:t>
      </w:r>
      <w:r>
        <w:t xml:space="preserve">is PAIA </w:t>
      </w:r>
      <w:r w:rsidRPr="00AC5C4C">
        <w:t xml:space="preserve">Manual is available- </w:t>
      </w:r>
    </w:p>
    <w:p w14:paraId="6309BA43" w14:textId="70DDA202" w:rsidR="00A7026E" w:rsidRPr="00AC5C4C" w:rsidRDefault="00A7026E" w:rsidP="009207A6">
      <w:pPr>
        <w:pStyle w:val="BodyLevel3"/>
      </w:pPr>
      <w:r w:rsidRPr="00AC5C4C">
        <w:t xml:space="preserve">on </w:t>
      </w:r>
      <w:r>
        <w:t>our website</w:t>
      </w:r>
      <w:r w:rsidR="00984A6D">
        <w:t xml:space="preserve"> </w:t>
      </w:r>
      <w:hyperlink r:id="rId12" w:history="1">
        <w:r w:rsidR="00984A6D" w:rsidRPr="00E540C3">
          <w:rPr>
            <w:rStyle w:val="Hyperlink"/>
          </w:rPr>
          <w:t>https://ajmtax.co.za/</w:t>
        </w:r>
      </w:hyperlink>
      <w:r w:rsidR="00984A6D">
        <w:t xml:space="preserve">; </w:t>
      </w:r>
    </w:p>
    <w:p w14:paraId="073B92F5" w14:textId="6985D857" w:rsidR="00A7026E" w:rsidRPr="00AC5C4C" w:rsidRDefault="00A7026E" w:rsidP="009207A6">
      <w:pPr>
        <w:pStyle w:val="BodyLevel3"/>
      </w:pPr>
      <w:r>
        <w:t xml:space="preserve">at our </w:t>
      </w:r>
      <w:r w:rsidRPr="00AC5C4C">
        <w:t>office</w:t>
      </w:r>
      <w:r>
        <w:t>s</w:t>
      </w:r>
      <w:r w:rsidRPr="00AC5C4C">
        <w:t xml:space="preserve"> during </w:t>
      </w:r>
      <w:r>
        <w:t>ordinary</w:t>
      </w:r>
      <w:r w:rsidRPr="00AC5C4C">
        <w:t xml:space="preserve"> business hours;</w:t>
      </w:r>
    </w:p>
    <w:p w14:paraId="138162BA" w14:textId="77777777" w:rsidR="00A7026E" w:rsidRPr="00AC5C4C" w:rsidRDefault="00A7026E" w:rsidP="009207A6">
      <w:pPr>
        <w:pStyle w:val="BodyLevel3"/>
      </w:pPr>
      <w:r w:rsidRPr="00AC5C4C">
        <w:t>to any person upon request and upon the payment of a reasonable prescribed fee; and</w:t>
      </w:r>
    </w:p>
    <w:p w14:paraId="65B52301" w14:textId="77777777" w:rsidR="00A7026E" w:rsidRPr="00AC5C4C" w:rsidRDefault="00A7026E" w:rsidP="009207A6">
      <w:pPr>
        <w:pStyle w:val="BodyLevel3"/>
      </w:pPr>
      <w:r w:rsidRPr="00AC5C4C">
        <w:t>to the Information Regulator upon request.</w:t>
      </w:r>
    </w:p>
    <w:p w14:paraId="3C2C124C" w14:textId="5333044A" w:rsidR="00A7026E" w:rsidRDefault="00A7026E" w:rsidP="009207A6">
      <w:pPr>
        <w:pStyle w:val="BodyLevel2"/>
      </w:pPr>
      <w:r>
        <w:lastRenderedPageBreak/>
        <w:t>The</w:t>
      </w:r>
      <w:r w:rsidRPr="00AC5C4C">
        <w:t xml:space="preserve"> fee for a copy of th</w:t>
      </w:r>
      <w:r>
        <w:t xml:space="preserve">is PAIA </w:t>
      </w:r>
      <w:r w:rsidRPr="00AC5C4C">
        <w:t xml:space="preserve">Manual, as contemplated in </w:t>
      </w:r>
      <w:r w:rsidR="0011042A">
        <w:t>A</w:t>
      </w:r>
      <w:r w:rsidRPr="00AC5C4C">
        <w:t xml:space="preserve">nnexure B of the </w:t>
      </w:r>
      <w:r w:rsidR="0014014B">
        <w:t>Regulations</w:t>
      </w:r>
      <w:r w:rsidRPr="00AC5C4C">
        <w:t>,</w:t>
      </w:r>
      <w:r w:rsidRPr="00AC5C4C">
        <w:rPr>
          <w:color w:val="FF0000"/>
        </w:rPr>
        <w:t xml:space="preserve"> </w:t>
      </w:r>
      <w:r w:rsidRPr="00AC5C4C">
        <w:t>shall be payable per each A4-size photocopy made.</w:t>
      </w:r>
      <w:r>
        <w:t xml:space="preserve"> </w:t>
      </w:r>
    </w:p>
    <w:p w14:paraId="4CCC0579" w14:textId="54242F50" w:rsidR="00A7026E" w:rsidRDefault="00A7026E" w:rsidP="009207A6">
      <w:pPr>
        <w:pStyle w:val="BodyLevel1"/>
      </w:pPr>
      <w:r>
        <w:t xml:space="preserve">UPDATE TO THIS PAIA MANUAL </w:t>
      </w:r>
    </w:p>
    <w:p w14:paraId="0B37F704" w14:textId="6A055F5F" w:rsidR="00A7026E" w:rsidRDefault="00A7026E" w:rsidP="009207A6">
      <w:pPr>
        <w:pStyle w:val="BodyLevel2"/>
      </w:pPr>
      <w:r>
        <w:t xml:space="preserve">This PAIA Manual will be regularly updated by </w:t>
      </w:r>
      <w:r w:rsidR="00D04558">
        <w:t>AJM</w:t>
      </w:r>
      <w:r>
        <w:t xml:space="preserve">'s </w:t>
      </w:r>
      <w:r w:rsidR="006E1F5A">
        <w:t>IO</w:t>
      </w:r>
      <w:r>
        <w:t xml:space="preserve">. </w:t>
      </w:r>
    </w:p>
    <w:p w14:paraId="12B2A709" w14:textId="0CFC3AD9" w:rsidR="00ED48A5" w:rsidRDefault="00ED48A5" w:rsidP="009207A6">
      <w:pPr>
        <w:pStyle w:val="BodyLevel2"/>
      </w:pPr>
      <w:r>
        <w:t xml:space="preserve">This PAIA Manual was last updated </w:t>
      </w:r>
      <w:r w:rsidR="005D132F">
        <w:t>during</w:t>
      </w:r>
      <w:r w:rsidR="00E449A8">
        <w:t xml:space="preserve"> May</w:t>
      </w:r>
      <w:r w:rsidR="000B272D">
        <w:t xml:space="preserve"> 2023</w:t>
      </w:r>
      <w:r w:rsidR="005E7967">
        <w:t>.</w:t>
      </w:r>
    </w:p>
    <w:p w14:paraId="366339D0" w14:textId="0039ADE0" w:rsidR="00ED48A5" w:rsidRDefault="00ED48A5" w:rsidP="009207A6">
      <w:pPr>
        <w:pStyle w:val="Body"/>
      </w:pPr>
    </w:p>
    <w:p w14:paraId="2C417AF3" w14:textId="52E57356" w:rsidR="00ED48A5" w:rsidRDefault="00ED48A5" w:rsidP="009207A6">
      <w:pPr>
        <w:pStyle w:val="Body"/>
        <w:keepNext/>
      </w:pPr>
      <w:r w:rsidRPr="00D34768">
        <w:t xml:space="preserve">Thank you for your </w:t>
      </w:r>
      <w:r>
        <w:t>interest</w:t>
      </w:r>
      <w:r w:rsidR="00E449A8">
        <w:t xml:space="preserve">. If </w:t>
      </w:r>
      <w:r w:rsidRPr="00D34768">
        <w:t xml:space="preserve">you have any questions, please direct them to </w:t>
      </w:r>
      <w:r>
        <w:t xml:space="preserve">the </w:t>
      </w:r>
      <w:r w:rsidR="006E1F5A">
        <w:t>IO</w:t>
      </w:r>
      <w:r>
        <w:t xml:space="preserve"> </w:t>
      </w:r>
      <w:r w:rsidR="0066325E">
        <w:t xml:space="preserve">of </w:t>
      </w:r>
      <w:r w:rsidR="00D04558">
        <w:t>AJM</w:t>
      </w:r>
      <w:r w:rsidR="0066325E">
        <w:t xml:space="preserve">. </w:t>
      </w:r>
    </w:p>
    <w:p w14:paraId="67CEF6F9" w14:textId="3BA39999" w:rsidR="00ED48A5" w:rsidRDefault="00BC49E4" w:rsidP="009207A6">
      <w:pPr>
        <w:keepNext/>
        <w:shd w:val="clear" w:color="auto" w:fill="FFFFFF"/>
        <w:spacing w:line="240" w:lineRule="auto"/>
        <w:ind w:left="567"/>
        <w:jc w:val="both"/>
        <w:textAlignment w:val="baseline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84FE35" wp14:editId="7DE7C631">
            <wp:simplePos x="0" y="0"/>
            <wp:positionH relativeFrom="column">
              <wp:posOffset>160351</wp:posOffset>
            </wp:positionH>
            <wp:positionV relativeFrom="paragraph">
              <wp:posOffset>224892</wp:posOffset>
            </wp:positionV>
            <wp:extent cx="1031240" cy="4533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8" r="8022" b="16762"/>
                    <a:stretch/>
                  </pic:blipFill>
                  <pic:spPr bwMode="auto">
                    <a:xfrm>
                      <a:off x="0" y="0"/>
                      <a:ext cx="10312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B1D65" w14:textId="19516BA3" w:rsidR="00BC49E4" w:rsidRDefault="00BC49E4" w:rsidP="009207A6">
      <w:pPr>
        <w:keepNext/>
        <w:shd w:val="clear" w:color="auto" w:fill="FFFFFF"/>
        <w:spacing w:line="240" w:lineRule="auto"/>
        <w:ind w:left="567"/>
        <w:jc w:val="both"/>
        <w:textAlignment w:val="baseline"/>
        <w:rPr>
          <w:rFonts w:cs="Arial"/>
        </w:rPr>
      </w:pPr>
    </w:p>
    <w:p w14:paraId="5B0D0CD0" w14:textId="4792ED8D" w:rsidR="00BC49E4" w:rsidRDefault="00BC49E4" w:rsidP="009207A6">
      <w:pPr>
        <w:keepNext/>
        <w:shd w:val="clear" w:color="auto" w:fill="FFFFFF"/>
        <w:spacing w:line="240" w:lineRule="auto"/>
        <w:ind w:left="567"/>
        <w:jc w:val="both"/>
        <w:textAlignment w:val="baseline"/>
        <w:rPr>
          <w:rFonts w:cs="Arial"/>
        </w:rPr>
      </w:pPr>
    </w:p>
    <w:p w14:paraId="09E5AD8A" w14:textId="161DD20A" w:rsidR="00ED48A5" w:rsidRPr="00ED48A5" w:rsidRDefault="00ED48A5" w:rsidP="00BC49E4">
      <w:pPr>
        <w:pStyle w:val="Body"/>
        <w:keepNext/>
        <w:spacing w:before="0" w:after="0"/>
        <w:contextualSpacing/>
        <w:rPr>
          <w:b/>
          <w:bCs/>
        </w:rPr>
      </w:pPr>
      <w:r w:rsidRPr="00ED48A5">
        <w:rPr>
          <w:b/>
          <w:bCs/>
        </w:rPr>
        <w:t>________________________</w:t>
      </w:r>
    </w:p>
    <w:p w14:paraId="2A6FF896" w14:textId="426DA487" w:rsidR="005E7967" w:rsidRPr="00BC7E55" w:rsidRDefault="00BC7E55" w:rsidP="009207A6">
      <w:pPr>
        <w:pStyle w:val="Body"/>
        <w:keepNext/>
        <w:rPr>
          <w:b/>
          <w:bCs/>
        </w:rPr>
      </w:pPr>
      <w:r w:rsidRPr="00BC7E55">
        <w:rPr>
          <w:b/>
          <w:bCs/>
        </w:rPr>
        <w:t xml:space="preserve">De Wet de Villiers </w:t>
      </w:r>
    </w:p>
    <w:p w14:paraId="3FD011A3" w14:textId="3B2A4EF0" w:rsidR="00ED48A5" w:rsidRPr="00A7026E" w:rsidRDefault="006E1F5A" w:rsidP="009207A6">
      <w:pPr>
        <w:pStyle w:val="Body"/>
        <w:keepNext/>
      </w:pPr>
      <w:r>
        <w:t>Information Officer</w:t>
      </w:r>
      <w:r w:rsidR="00ED48A5">
        <w:t xml:space="preserve"> </w:t>
      </w:r>
    </w:p>
    <w:sectPr w:rsidR="00ED48A5" w:rsidRPr="00A7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66A5" w14:textId="77777777" w:rsidR="005C41D2" w:rsidRDefault="005C41D2" w:rsidP="00C106CF">
      <w:pPr>
        <w:spacing w:before="0" w:after="0" w:line="240" w:lineRule="auto"/>
      </w:pPr>
      <w:r>
        <w:separator/>
      </w:r>
    </w:p>
  </w:endnote>
  <w:endnote w:type="continuationSeparator" w:id="0">
    <w:p w14:paraId="1D836CD1" w14:textId="77777777" w:rsidR="005C41D2" w:rsidRDefault="005C41D2" w:rsidP="00C106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32065" w14:textId="77777777" w:rsidR="005C41D2" w:rsidRDefault="005C41D2" w:rsidP="00C106CF">
      <w:pPr>
        <w:spacing w:before="0" w:after="0" w:line="240" w:lineRule="auto"/>
      </w:pPr>
      <w:r>
        <w:separator/>
      </w:r>
    </w:p>
  </w:footnote>
  <w:footnote w:type="continuationSeparator" w:id="0">
    <w:p w14:paraId="2F7A4CF9" w14:textId="77777777" w:rsidR="005C41D2" w:rsidRDefault="005C41D2" w:rsidP="00C106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2E4"/>
    <w:multiLevelType w:val="multilevel"/>
    <w:tmpl w:val="38DE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99449B"/>
    <w:multiLevelType w:val="multilevel"/>
    <w:tmpl w:val="8E0604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</w:rPr>
    </w:lvl>
  </w:abstractNum>
  <w:abstractNum w:abstractNumId="2" w15:restartNumberingAfterBreak="0">
    <w:nsid w:val="229D1FF3"/>
    <w:multiLevelType w:val="multilevel"/>
    <w:tmpl w:val="322E608C"/>
    <w:styleLink w:val="Contracts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1418" w:hanging="851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268" w:hanging="85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BB020E"/>
    <w:multiLevelType w:val="multilevel"/>
    <w:tmpl w:val="E3468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827352C"/>
    <w:multiLevelType w:val="hybridMultilevel"/>
    <w:tmpl w:val="5374F3BC"/>
    <w:lvl w:ilvl="0" w:tplc="5628A2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302E"/>
    <w:multiLevelType w:val="multilevel"/>
    <w:tmpl w:val="092AD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D1D6886"/>
    <w:multiLevelType w:val="multilevel"/>
    <w:tmpl w:val="93468C6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EC32A80"/>
    <w:multiLevelType w:val="multilevel"/>
    <w:tmpl w:val="5B0AEC1E"/>
    <w:lvl w:ilvl="0">
      <w:start w:val="1"/>
      <w:numFmt w:val="decimal"/>
      <w:pStyle w:val="Body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BodyLevel2"/>
      <w:lvlText w:val="%1.%2."/>
      <w:lvlJc w:val="left"/>
      <w:pPr>
        <w:ind w:left="1418" w:hanging="851"/>
      </w:pPr>
      <w:rPr>
        <w:rFonts w:hint="default"/>
        <w:b w:val="0"/>
        <w:bCs/>
      </w:rPr>
    </w:lvl>
    <w:lvl w:ilvl="2">
      <w:start w:val="1"/>
      <w:numFmt w:val="decimal"/>
      <w:pStyle w:val="BodyLevel3"/>
      <w:lvlText w:val="%1.%2.%3."/>
      <w:lvlJc w:val="left"/>
      <w:pPr>
        <w:ind w:left="2268" w:hanging="850"/>
      </w:pPr>
      <w:rPr>
        <w:rFonts w:hint="default"/>
        <w:b w:val="0"/>
        <w:bCs/>
      </w:rPr>
    </w:lvl>
    <w:lvl w:ilvl="3">
      <w:start w:val="1"/>
      <w:numFmt w:val="decimal"/>
      <w:pStyle w:val="BodyLevel4"/>
      <w:lvlText w:val="%1.%2.%3.%4."/>
      <w:lvlJc w:val="left"/>
      <w:pPr>
        <w:ind w:left="3402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0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BD2677F"/>
    <w:multiLevelType w:val="hybridMultilevel"/>
    <w:tmpl w:val="95460D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53ACD"/>
    <w:multiLevelType w:val="multilevel"/>
    <w:tmpl w:val="C7E6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9610662">
    <w:abstractNumId w:val="7"/>
  </w:num>
  <w:num w:numId="2" w16cid:durableId="703867237">
    <w:abstractNumId w:val="7"/>
  </w:num>
  <w:num w:numId="3" w16cid:durableId="2094274777">
    <w:abstractNumId w:val="7"/>
  </w:num>
  <w:num w:numId="4" w16cid:durableId="1544170897">
    <w:abstractNumId w:val="7"/>
  </w:num>
  <w:num w:numId="5" w16cid:durableId="634332123">
    <w:abstractNumId w:val="5"/>
  </w:num>
  <w:num w:numId="6" w16cid:durableId="1168863405">
    <w:abstractNumId w:val="7"/>
  </w:num>
  <w:num w:numId="7" w16cid:durableId="1022127979">
    <w:abstractNumId w:val="8"/>
  </w:num>
  <w:num w:numId="8" w16cid:durableId="751852792">
    <w:abstractNumId w:val="2"/>
  </w:num>
  <w:num w:numId="9" w16cid:durableId="2064794671">
    <w:abstractNumId w:val="0"/>
  </w:num>
  <w:num w:numId="10" w16cid:durableId="1116215631">
    <w:abstractNumId w:val="6"/>
  </w:num>
  <w:num w:numId="11" w16cid:durableId="1929269521">
    <w:abstractNumId w:val="3"/>
  </w:num>
  <w:num w:numId="12" w16cid:durableId="2071339288">
    <w:abstractNumId w:val="1"/>
  </w:num>
  <w:num w:numId="13" w16cid:durableId="1737706498">
    <w:abstractNumId w:val="4"/>
  </w:num>
  <w:num w:numId="14" w16cid:durableId="1880893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xNLQ0NjA1NDUxNbBU0lEKTi0uzszPAymwqAUA1VHJAywAAAA="/>
  </w:docVars>
  <w:rsids>
    <w:rsidRoot w:val="00C106CF"/>
    <w:rsid w:val="00015EAF"/>
    <w:rsid w:val="00031E61"/>
    <w:rsid w:val="00060CE2"/>
    <w:rsid w:val="000A5F5A"/>
    <w:rsid w:val="000B272D"/>
    <w:rsid w:val="000D117B"/>
    <w:rsid w:val="000D1B05"/>
    <w:rsid w:val="000F7FFE"/>
    <w:rsid w:val="00103367"/>
    <w:rsid w:val="0011042A"/>
    <w:rsid w:val="00115DD8"/>
    <w:rsid w:val="0012656F"/>
    <w:rsid w:val="00132B62"/>
    <w:rsid w:val="0014014B"/>
    <w:rsid w:val="00143AE7"/>
    <w:rsid w:val="0019395B"/>
    <w:rsid w:val="00196628"/>
    <w:rsid w:val="001968DA"/>
    <w:rsid w:val="001A17E7"/>
    <w:rsid w:val="00206B7E"/>
    <w:rsid w:val="00216761"/>
    <w:rsid w:val="00242688"/>
    <w:rsid w:val="0025577A"/>
    <w:rsid w:val="00257FEC"/>
    <w:rsid w:val="0028116B"/>
    <w:rsid w:val="002C691D"/>
    <w:rsid w:val="002D0905"/>
    <w:rsid w:val="002D1F57"/>
    <w:rsid w:val="0030185D"/>
    <w:rsid w:val="003046A4"/>
    <w:rsid w:val="00353262"/>
    <w:rsid w:val="0036012C"/>
    <w:rsid w:val="003644D4"/>
    <w:rsid w:val="0039153D"/>
    <w:rsid w:val="003A364E"/>
    <w:rsid w:val="003E3B7D"/>
    <w:rsid w:val="003F0558"/>
    <w:rsid w:val="00405660"/>
    <w:rsid w:val="004154CD"/>
    <w:rsid w:val="00473546"/>
    <w:rsid w:val="00484E70"/>
    <w:rsid w:val="004A0A12"/>
    <w:rsid w:val="004A2F8D"/>
    <w:rsid w:val="004A78E9"/>
    <w:rsid w:val="004C0C72"/>
    <w:rsid w:val="004E0330"/>
    <w:rsid w:val="004E14A8"/>
    <w:rsid w:val="0052119A"/>
    <w:rsid w:val="00531D3C"/>
    <w:rsid w:val="00534314"/>
    <w:rsid w:val="00545648"/>
    <w:rsid w:val="005824D9"/>
    <w:rsid w:val="005B71AD"/>
    <w:rsid w:val="005C41D2"/>
    <w:rsid w:val="005D132F"/>
    <w:rsid w:val="005D39D0"/>
    <w:rsid w:val="005E6FED"/>
    <w:rsid w:val="005E7967"/>
    <w:rsid w:val="005F21A0"/>
    <w:rsid w:val="0060526F"/>
    <w:rsid w:val="0061749F"/>
    <w:rsid w:val="0062705F"/>
    <w:rsid w:val="006429AC"/>
    <w:rsid w:val="00646DB9"/>
    <w:rsid w:val="0066325E"/>
    <w:rsid w:val="006758CA"/>
    <w:rsid w:val="006972AF"/>
    <w:rsid w:val="006E1F5A"/>
    <w:rsid w:val="00707106"/>
    <w:rsid w:val="00730603"/>
    <w:rsid w:val="00782162"/>
    <w:rsid w:val="007C1577"/>
    <w:rsid w:val="007F0648"/>
    <w:rsid w:val="00841550"/>
    <w:rsid w:val="0084763A"/>
    <w:rsid w:val="0086563C"/>
    <w:rsid w:val="00881098"/>
    <w:rsid w:val="008B15AE"/>
    <w:rsid w:val="008D083C"/>
    <w:rsid w:val="008E1B08"/>
    <w:rsid w:val="008E1CC5"/>
    <w:rsid w:val="00916973"/>
    <w:rsid w:val="009207A6"/>
    <w:rsid w:val="00934CE2"/>
    <w:rsid w:val="009405A9"/>
    <w:rsid w:val="0094350E"/>
    <w:rsid w:val="00943ACB"/>
    <w:rsid w:val="00946564"/>
    <w:rsid w:val="00984164"/>
    <w:rsid w:val="00984A6D"/>
    <w:rsid w:val="00996EE8"/>
    <w:rsid w:val="009C4F81"/>
    <w:rsid w:val="009F02EC"/>
    <w:rsid w:val="00A239CC"/>
    <w:rsid w:val="00A43E2B"/>
    <w:rsid w:val="00A45F75"/>
    <w:rsid w:val="00A51D31"/>
    <w:rsid w:val="00A64CF4"/>
    <w:rsid w:val="00A7026E"/>
    <w:rsid w:val="00A8530A"/>
    <w:rsid w:val="00A85C3C"/>
    <w:rsid w:val="00A95BDA"/>
    <w:rsid w:val="00A972EC"/>
    <w:rsid w:val="00AB0400"/>
    <w:rsid w:val="00AB103E"/>
    <w:rsid w:val="00AC0567"/>
    <w:rsid w:val="00AD2629"/>
    <w:rsid w:val="00AF1054"/>
    <w:rsid w:val="00B31F04"/>
    <w:rsid w:val="00B332EF"/>
    <w:rsid w:val="00B47505"/>
    <w:rsid w:val="00B6626A"/>
    <w:rsid w:val="00B76258"/>
    <w:rsid w:val="00B76E15"/>
    <w:rsid w:val="00B9357A"/>
    <w:rsid w:val="00B97418"/>
    <w:rsid w:val="00BA4D7D"/>
    <w:rsid w:val="00BA5C2A"/>
    <w:rsid w:val="00BB0D6C"/>
    <w:rsid w:val="00BC1586"/>
    <w:rsid w:val="00BC49E4"/>
    <w:rsid w:val="00BC7E55"/>
    <w:rsid w:val="00BE4FB7"/>
    <w:rsid w:val="00C106CF"/>
    <w:rsid w:val="00C1350F"/>
    <w:rsid w:val="00C23E5B"/>
    <w:rsid w:val="00C42C09"/>
    <w:rsid w:val="00CD1B39"/>
    <w:rsid w:val="00CF5AF2"/>
    <w:rsid w:val="00D04558"/>
    <w:rsid w:val="00D06663"/>
    <w:rsid w:val="00D1540D"/>
    <w:rsid w:val="00D254C3"/>
    <w:rsid w:val="00D37CAF"/>
    <w:rsid w:val="00D41DCB"/>
    <w:rsid w:val="00D468F1"/>
    <w:rsid w:val="00D56E47"/>
    <w:rsid w:val="00D701B6"/>
    <w:rsid w:val="00D84661"/>
    <w:rsid w:val="00D9361D"/>
    <w:rsid w:val="00D94EDA"/>
    <w:rsid w:val="00DA3FCB"/>
    <w:rsid w:val="00DF468A"/>
    <w:rsid w:val="00DF67CB"/>
    <w:rsid w:val="00E0786F"/>
    <w:rsid w:val="00E1288B"/>
    <w:rsid w:val="00E22F9D"/>
    <w:rsid w:val="00E2410D"/>
    <w:rsid w:val="00E357AA"/>
    <w:rsid w:val="00E445CB"/>
    <w:rsid w:val="00E449A8"/>
    <w:rsid w:val="00E6537C"/>
    <w:rsid w:val="00E7279C"/>
    <w:rsid w:val="00EC5716"/>
    <w:rsid w:val="00ED48A5"/>
    <w:rsid w:val="00ED53C1"/>
    <w:rsid w:val="00EF6E14"/>
    <w:rsid w:val="00F6076E"/>
    <w:rsid w:val="00FB51A0"/>
    <w:rsid w:val="00FC143D"/>
    <w:rsid w:val="00FE6553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8448DA"/>
  <w15:chartTrackingRefBased/>
  <w15:docId w15:val="{F4942FA1-BA16-4CED-A813-79951760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258"/>
    <w:pPr>
      <w:spacing w:before="120" w:after="120" w:line="24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5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353262"/>
    <w:pPr>
      <w:jc w:val="both"/>
    </w:pPr>
    <w:rPr>
      <w:rFonts w:eastAsia="Arial Unicode MS" w:cs="Arial"/>
    </w:rPr>
  </w:style>
  <w:style w:type="character" w:customStyle="1" w:styleId="BodyChar">
    <w:name w:val="Body Char"/>
    <w:basedOn w:val="DefaultParagraphFont"/>
    <w:link w:val="Body"/>
    <w:rsid w:val="00353262"/>
    <w:rPr>
      <w:rFonts w:ascii="Arial" w:eastAsia="Arial Unicode MS" w:hAnsi="Arial" w:cs="Arial"/>
      <w:sz w:val="20"/>
    </w:rPr>
  </w:style>
  <w:style w:type="paragraph" w:customStyle="1" w:styleId="BodyLevel1">
    <w:name w:val="BodyLevel1"/>
    <w:basedOn w:val="Body"/>
    <w:next w:val="Normal"/>
    <w:link w:val="BodyLevel1Char"/>
    <w:qFormat/>
    <w:rsid w:val="006972AF"/>
    <w:pPr>
      <w:keepNext/>
      <w:numPr>
        <w:numId w:val="6"/>
      </w:numPr>
    </w:pPr>
    <w:rPr>
      <w:b/>
    </w:rPr>
  </w:style>
  <w:style w:type="character" w:customStyle="1" w:styleId="BodyLevel1Char">
    <w:name w:val="BodyLevel1 Char"/>
    <w:basedOn w:val="BodyChar"/>
    <w:link w:val="BodyLevel1"/>
    <w:rsid w:val="00353262"/>
    <w:rPr>
      <w:rFonts w:ascii="Arial" w:eastAsia="Arial Unicode MS" w:hAnsi="Arial" w:cs="Arial"/>
      <w:b/>
      <w:sz w:val="20"/>
    </w:rPr>
  </w:style>
  <w:style w:type="paragraph" w:customStyle="1" w:styleId="BodyLevel2">
    <w:name w:val="BodyLevel2"/>
    <w:basedOn w:val="Body"/>
    <w:link w:val="BodyLevel2Char"/>
    <w:qFormat/>
    <w:rsid w:val="006972AF"/>
    <w:pPr>
      <w:numPr>
        <w:ilvl w:val="1"/>
        <w:numId w:val="6"/>
      </w:numPr>
    </w:pPr>
    <w:rPr>
      <w:rFonts w:eastAsia="Arial"/>
      <w:lang w:val="en-GB"/>
    </w:rPr>
  </w:style>
  <w:style w:type="character" w:customStyle="1" w:styleId="BodyLevel2Char">
    <w:name w:val="BodyLevel2 Char"/>
    <w:basedOn w:val="DefaultParagraphFont"/>
    <w:link w:val="BodyLevel2"/>
    <w:rsid w:val="00353262"/>
    <w:rPr>
      <w:rFonts w:ascii="Arial" w:eastAsia="Arial" w:hAnsi="Arial" w:cs="Arial"/>
      <w:sz w:val="20"/>
      <w:lang w:val="en-GB"/>
    </w:rPr>
  </w:style>
  <w:style w:type="paragraph" w:customStyle="1" w:styleId="BodyLevel3">
    <w:name w:val="BodyLevel3"/>
    <w:basedOn w:val="Body"/>
    <w:link w:val="BodyLevel3Char"/>
    <w:qFormat/>
    <w:rsid w:val="006972AF"/>
    <w:pPr>
      <w:numPr>
        <w:ilvl w:val="2"/>
        <w:numId w:val="6"/>
      </w:numPr>
    </w:pPr>
    <w:rPr>
      <w:rFonts w:eastAsiaTheme="minorEastAsia"/>
    </w:rPr>
  </w:style>
  <w:style w:type="character" w:customStyle="1" w:styleId="BodyLevel3Char">
    <w:name w:val="BodyLevel3 Char"/>
    <w:basedOn w:val="DefaultParagraphFont"/>
    <w:link w:val="BodyLevel3"/>
    <w:rsid w:val="00353262"/>
    <w:rPr>
      <w:rFonts w:ascii="Arial" w:eastAsiaTheme="minorEastAsia" w:hAnsi="Arial" w:cs="Arial"/>
      <w:sz w:val="20"/>
    </w:rPr>
  </w:style>
  <w:style w:type="paragraph" w:customStyle="1" w:styleId="BodyLevel4">
    <w:name w:val="BodyLevel4"/>
    <w:basedOn w:val="BodyLevel3"/>
    <w:link w:val="BodyLevel4Char"/>
    <w:qFormat/>
    <w:rsid w:val="006972AF"/>
    <w:pPr>
      <w:numPr>
        <w:ilvl w:val="3"/>
        <w:numId w:val="4"/>
      </w:numPr>
    </w:pPr>
    <w:rPr>
      <w:rFonts w:eastAsia="Arial"/>
      <w:noProof/>
    </w:rPr>
  </w:style>
  <w:style w:type="character" w:customStyle="1" w:styleId="BodyLevel4Char">
    <w:name w:val="BodyLevel4 Char"/>
    <w:basedOn w:val="DefaultParagraphFont"/>
    <w:link w:val="BodyLevel4"/>
    <w:rsid w:val="006972AF"/>
    <w:rPr>
      <w:rFonts w:ascii="Arial" w:eastAsia="Arial" w:hAnsi="Arial" w:cs="Arial"/>
      <w:noProof/>
      <w:sz w:val="20"/>
    </w:rPr>
  </w:style>
  <w:style w:type="paragraph" w:styleId="NoSpacing">
    <w:name w:val="No Spacing"/>
    <w:uiPriority w:val="1"/>
    <w:rsid w:val="005D39D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06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C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106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CF"/>
    <w:rPr>
      <w:rFonts w:ascii="Arial" w:hAnsi="Arial"/>
      <w:sz w:val="20"/>
    </w:rPr>
  </w:style>
  <w:style w:type="numbering" w:customStyle="1" w:styleId="Contracts">
    <w:name w:val="Contracts"/>
    <w:uiPriority w:val="99"/>
    <w:rsid w:val="00646DB9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D0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905"/>
    <w:rPr>
      <w:color w:val="605E5C"/>
      <w:shd w:val="clear" w:color="auto" w:fill="E1DFDD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A45F75"/>
    <w:pPr>
      <w:spacing w:before="0"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List Paragraph 1 Char"/>
    <w:link w:val="ListParagraph"/>
    <w:uiPriority w:val="34"/>
    <w:locked/>
    <w:rsid w:val="00A45F75"/>
  </w:style>
  <w:style w:type="table" w:styleId="TableGrid">
    <w:name w:val="Table Grid"/>
    <w:basedOn w:val="TableNormal"/>
    <w:uiPriority w:val="59"/>
    <w:rsid w:val="00A64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D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2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3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325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25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25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0D6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ice.gov.za/inforeg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jmtax.co.z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jmtax.co.z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ajmtax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wetdevilliers@ajmtax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2650-0FB0-44E1-8173-06316CA7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van der Byl</dc:creator>
  <cp:keywords/>
  <dc:description/>
  <cp:lastModifiedBy>Megan Davies</cp:lastModifiedBy>
  <cp:revision>7</cp:revision>
  <dcterms:created xsi:type="dcterms:W3CDTF">2023-05-21T10:36:00Z</dcterms:created>
  <dcterms:modified xsi:type="dcterms:W3CDTF">2023-05-26T10:08:00Z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36085f4787a475801da7d2e24692e2275bc9de22c6e6e03aa6989a966b5708c0</vt:lpwstr>
  </property>
</Properties>
</file>